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85" w:rsidRPr="00E96973" w:rsidRDefault="00EC7F85" w:rsidP="00EC7F85">
      <w:pPr>
        <w:pStyle w:val="ListParagraph"/>
        <w:numPr>
          <w:ilvl w:val="0"/>
          <w:numId w:val="2"/>
        </w:numPr>
        <w:rPr>
          <w:sz w:val="21"/>
          <w:szCs w:val="21"/>
        </w:rPr>
      </w:pPr>
      <w:r w:rsidRPr="00E96973">
        <w:rPr>
          <w:sz w:val="21"/>
          <w:szCs w:val="21"/>
        </w:rPr>
        <w:t>Revision Control</w:t>
      </w:r>
    </w:p>
    <w:p w:rsidR="00EC7F85" w:rsidRPr="00E96973" w:rsidRDefault="00EC7F85" w:rsidP="00EC7F85">
      <w:pPr>
        <w:pStyle w:val="ListParagraph"/>
        <w:numPr>
          <w:ilvl w:val="1"/>
          <w:numId w:val="2"/>
        </w:numPr>
        <w:rPr>
          <w:sz w:val="21"/>
          <w:szCs w:val="21"/>
        </w:rPr>
      </w:pPr>
      <w:r w:rsidRPr="00E96973">
        <w:rPr>
          <w:sz w:val="21"/>
          <w:szCs w:val="21"/>
        </w:rPr>
        <w:t>Product supplied must match all drawings, specifications and/or reference documents provided with our purchase order unless otherwise specified.</w:t>
      </w:r>
    </w:p>
    <w:p w:rsidR="00EC7F85" w:rsidRPr="00E96973" w:rsidRDefault="00EC7F85" w:rsidP="00EC7F85">
      <w:pPr>
        <w:pStyle w:val="ListParagraph"/>
        <w:numPr>
          <w:ilvl w:val="0"/>
          <w:numId w:val="2"/>
        </w:numPr>
        <w:rPr>
          <w:sz w:val="21"/>
          <w:szCs w:val="21"/>
        </w:rPr>
      </w:pPr>
      <w:r w:rsidRPr="00E96973">
        <w:rPr>
          <w:sz w:val="21"/>
          <w:szCs w:val="21"/>
        </w:rPr>
        <w:t>Inspection and Testing</w:t>
      </w:r>
    </w:p>
    <w:p w:rsidR="00EC7F85" w:rsidRPr="00E96973" w:rsidRDefault="00EC7F85" w:rsidP="00EC7F85">
      <w:pPr>
        <w:pStyle w:val="ListParagraph"/>
        <w:numPr>
          <w:ilvl w:val="1"/>
          <w:numId w:val="2"/>
        </w:numPr>
        <w:rPr>
          <w:sz w:val="21"/>
          <w:szCs w:val="21"/>
        </w:rPr>
      </w:pPr>
      <w:r w:rsidRPr="00E96973">
        <w:rPr>
          <w:sz w:val="21"/>
          <w:szCs w:val="21"/>
        </w:rPr>
        <w:t>When requested on our purchase order, inspections and tests must be performed prior to shipment of product to Accutite Fasteners, Inc.</w:t>
      </w:r>
    </w:p>
    <w:p w:rsidR="00EC7F85" w:rsidRPr="00E96973" w:rsidRDefault="00EC7F85" w:rsidP="00EC7F85">
      <w:pPr>
        <w:pStyle w:val="ListParagraph"/>
        <w:numPr>
          <w:ilvl w:val="0"/>
          <w:numId w:val="2"/>
        </w:numPr>
        <w:rPr>
          <w:sz w:val="21"/>
          <w:szCs w:val="21"/>
        </w:rPr>
      </w:pPr>
      <w:r w:rsidRPr="00E96973">
        <w:rPr>
          <w:sz w:val="21"/>
          <w:szCs w:val="21"/>
        </w:rPr>
        <w:t>Non-conforming Product Notification</w:t>
      </w:r>
    </w:p>
    <w:p w:rsidR="00BE12FC" w:rsidRPr="00E96973" w:rsidRDefault="007C5836" w:rsidP="00BE12FC">
      <w:pPr>
        <w:pStyle w:val="ListParagraph"/>
        <w:numPr>
          <w:ilvl w:val="1"/>
          <w:numId w:val="2"/>
        </w:numPr>
        <w:rPr>
          <w:sz w:val="21"/>
          <w:szCs w:val="21"/>
        </w:rPr>
      </w:pPr>
      <w:r w:rsidRPr="00E96973">
        <w:rPr>
          <w:sz w:val="21"/>
          <w:szCs w:val="21"/>
        </w:rPr>
        <w:t>If a non</w:t>
      </w:r>
      <w:r w:rsidR="00BE12FC" w:rsidRPr="00E96973">
        <w:rPr>
          <w:sz w:val="21"/>
          <w:szCs w:val="21"/>
        </w:rPr>
        <w:t>conformance is discovered prior to shipment that does not affect form, fit, or function, a request for waiver may be submitted.</w:t>
      </w:r>
    </w:p>
    <w:p w:rsidR="00BE12FC" w:rsidRPr="00E96973" w:rsidRDefault="00BE12FC" w:rsidP="00BE12FC">
      <w:pPr>
        <w:pStyle w:val="ListParagraph"/>
        <w:numPr>
          <w:ilvl w:val="1"/>
          <w:numId w:val="2"/>
        </w:numPr>
        <w:rPr>
          <w:sz w:val="21"/>
          <w:szCs w:val="21"/>
        </w:rPr>
      </w:pPr>
      <w:r w:rsidRPr="00E96973">
        <w:rPr>
          <w:sz w:val="21"/>
          <w:szCs w:val="21"/>
        </w:rPr>
        <w:t>All such requests must be made in writing.</w:t>
      </w:r>
    </w:p>
    <w:p w:rsidR="00BE12FC" w:rsidRPr="00E96973" w:rsidRDefault="00BE12FC" w:rsidP="00BE12FC">
      <w:pPr>
        <w:pStyle w:val="ListParagraph"/>
        <w:numPr>
          <w:ilvl w:val="2"/>
          <w:numId w:val="2"/>
        </w:numPr>
        <w:rPr>
          <w:sz w:val="21"/>
          <w:szCs w:val="21"/>
        </w:rPr>
      </w:pPr>
      <w:r w:rsidRPr="00E96973">
        <w:rPr>
          <w:sz w:val="21"/>
          <w:szCs w:val="21"/>
        </w:rPr>
        <w:t>Under no circumstances shall shipment be made without written approval from Accutite Fasteners, Inc.</w:t>
      </w:r>
    </w:p>
    <w:p w:rsidR="007C5836" w:rsidRPr="00E96973" w:rsidRDefault="007C5836" w:rsidP="007C5836">
      <w:pPr>
        <w:pStyle w:val="ListParagraph"/>
        <w:numPr>
          <w:ilvl w:val="1"/>
          <w:numId w:val="2"/>
        </w:numPr>
        <w:rPr>
          <w:sz w:val="21"/>
          <w:szCs w:val="21"/>
        </w:rPr>
      </w:pPr>
      <w:r w:rsidRPr="00E96973">
        <w:rPr>
          <w:sz w:val="21"/>
          <w:szCs w:val="21"/>
        </w:rPr>
        <w:t>If a nonconformance is discovered subsequent to shipment, the supplier is required to notify Accutite Fasteners, Inc. within 48 hours of the discovery.</w:t>
      </w:r>
    </w:p>
    <w:p w:rsidR="000F776F" w:rsidRPr="00E96973" w:rsidRDefault="000F776F" w:rsidP="000F776F">
      <w:pPr>
        <w:pStyle w:val="ListParagraph"/>
        <w:numPr>
          <w:ilvl w:val="0"/>
          <w:numId w:val="2"/>
        </w:numPr>
        <w:rPr>
          <w:sz w:val="21"/>
          <w:szCs w:val="21"/>
        </w:rPr>
      </w:pPr>
      <w:r w:rsidRPr="00E96973">
        <w:rPr>
          <w:sz w:val="21"/>
          <w:szCs w:val="21"/>
        </w:rPr>
        <w:t>Right of Access</w:t>
      </w:r>
    </w:p>
    <w:p w:rsidR="00E96973" w:rsidRPr="005D3CE6" w:rsidRDefault="000F776F" w:rsidP="00E96973">
      <w:pPr>
        <w:pStyle w:val="ListParagraph"/>
        <w:numPr>
          <w:ilvl w:val="1"/>
          <w:numId w:val="2"/>
        </w:numPr>
        <w:rPr>
          <w:sz w:val="21"/>
          <w:szCs w:val="21"/>
        </w:rPr>
      </w:pPr>
      <w:r w:rsidRPr="00E96973">
        <w:rPr>
          <w:sz w:val="21"/>
          <w:szCs w:val="21"/>
        </w:rPr>
        <w:t xml:space="preserve">Accutite Fasteners, Inc., as well as our customers and regulatory authorities, reserve the right of access to our suppliers’ facilities </w:t>
      </w:r>
      <w:r w:rsidR="007D3DD8">
        <w:rPr>
          <w:sz w:val="21"/>
          <w:szCs w:val="21"/>
        </w:rPr>
        <w:t xml:space="preserve">at any level of the supply chain </w:t>
      </w:r>
      <w:r w:rsidRPr="00E96973">
        <w:rPr>
          <w:sz w:val="21"/>
          <w:szCs w:val="21"/>
        </w:rPr>
        <w:t>for the purpose of audits and inspections.  If such access is necessary, reasonable notice will be given to the supplier prior to visitation.</w:t>
      </w:r>
    </w:p>
    <w:p w:rsidR="000F776F" w:rsidRPr="00E96973" w:rsidRDefault="000F776F" w:rsidP="000F776F">
      <w:pPr>
        <w:pStyle w:val="ListParagraph"/>
        <w:numPr>
          <w:ilvl w:val="0"/>
          <w:numId w:val="2"/>
        </w:numPr>
        <w:rPr>
          <w:sz w:val="21"/>
          <w:szCs w:val="21"/>
        </w:rPr>
      </w:pPr>
      <w:r w:rsidRPr="00E96973">
        <w:rPr>
          <w:sz w:val="21"/>
          <w:szCs w:val="21"/>
        </w:rPr>
        <w:t>Traceability</w:t>
      </w:r>
    </w:p>
    <w:p w:rsidR="000F776F" w:rsidRPr="00E96973" w:rsidRDefault="000F776F" w:rsidP="000F776F">
      <w:pPr>
        <w:pStyle w:val="ListParagraph"/>
        <w:numPr>
          <w:ilvl w:val="1"/>
          <w:numId w:val="2"/>
        </w:numPr>
        <w:rPr>
          <w:sz w:val="21"/>
          <w:szCs w:val="21"/>
        </w:rPr>
      </w:pPr>
      <w:r w:rsidRPr="00E96973">
        <w:rPr>
          <w:sz w:val="21"/>
          <w:szCs w:val="21"/>
        </w:rPr>
        <w:t xml:space="preserve">Lot traceability is required for products provided per this purchase order. </w:t>
      </w:r>
    </w:p>
    <w:p w:rsidR="000F776F" w:rsidRPr="00E96973" w:rsidRDefault="00910100" w:rsidP="000F776F">
      <w:pPr>
        <w:pStyle w:val="ListParagraph"/>
        <w:numPr>
          <w:ilvl w:val="2"/>
          <w:numId w:val="2"/>
        </w:numPr>
        <w:rPr>
          <w:sz w:val="21"/>
          <w:szCs w:val="21"/>
        </w:rPr>
      </w:pPr>
      <w:r w:rsidRPr="00E96973">
        <w:rPr>
          <w:sz w:val="21"/>
          <w:szCs w:val="21"/>
        </w:rPr>
        <w:t>It is mandatory to provide</w:t>
      </w:r>
      <w:r w:rsidR="0097284E">
        <w:rPr>
          <w:sz w:val="21"/>
          <w:szCs w:val="21"/>
        </w:rPr>
        <w:t xml:space="preserve"> or maintain for future retrieval</w:t>
      </w:r>
      <w:r w:rsidRPr="00E96973">
        <w:rPr>
          <w:sz w:val="21"/>
          <w:szCs w:val="21"/>
        </w:rPr>
        <w:t xml:space="preserve"> t</w:t>
      </w:r>
      <w:r w:rsidR="000F776F" w:rsidRPr="00E96973">
        <w:rPr>
          <w:sz w:val="21"/>
          <w:szCs w:val="21"/>
        </w:rPr>
        <w:t xml:space="preserve">he unique lot/control number assigned by the manufacturer to the production lot </w:t>
      </w:r>
      <w:r w:rsidRPr="00E96973">
        <w:rPr>
          <w:sz w:val="21"/>
          <w:szCs w:val="21"/>
        </w:rPr>
        <w:t>provided.</w:t>
      </w:r>
    </w:p>
    <w:p w:rsidR="00910100" w:rsidRPr="00E96973" w:rsidRDefault="00910100" w:rsidP="000F776F">
      <w:pPr>
        <w:pStyle w:val="ListParagraph"/>
        <w:numPr>
          <w:ilvl w:val="2"/>
          <w:numId w:val="2"/>
        </w:numPr>
        <w:rPr>
          <w:sz w:val="21"/>
          <w:szCs w:val="21"/>
        </w:rPr>
      </w:pPr>
      <w:r w:rsidRPr="00E96973">
        <w:rPr>
          <w:sz w:val="21"/>
          <w:szCs w:val="21"/>
        </w:rPr>
        <w:lastRenderedPageBreak/>
        <w:t>This lot number must be traceable to all raw materials, processing and testing results.</w:t>
      </w:r>
    </w:p>
    <w:p w:rsidR="00910100" w:rsidRPr="00E96973" w:rsidRDefault="00910100" w:rsidP="00910100">
      <w:pPr>
        <w:pStyle w:val="ListParagraph"/>
        <w:numPr>
          <w:ilvl w:val="1"/>
          <w:numId w:val="2"/>
        </w:numPr>
        <w:rPr>
          <w:sz w:val="21"/>
          <w:szCs w:val="21"/>
        </w:rPr>
      </w:pPr>
      <w:r w:rsidRPr="00E96973">
        <w:rPr>
          <w:sz w:val="21"/>
          <w:szCs w:val="21"/>
        </w:rPr>
        <w:t>Commingled lots will be rejected.</w:t>
      </w:r>
    </w:p>
    <w:p w:rsidR="00910100" w:rsidRPr="00E96973" w:rsidRDefault="00910100" w:rsidP="00910100">
      <w:pPr>
        <w:pStyle w:val="ListParagraph"/>
        <w:numPr>
          <w:ilvl w:val="0"/>
          <w:numId w:val="2"/>
        </w:numPr>
        <w:rPr>
          <w:sz w:val="21"/>
          <w:szCs w:val="21"/>
        </w:rPr>
      </w:pPr>
      <w:r w:rsidRPr="00E96973">
        <w:rPr>
          <w:sz w:val="21"/>
          <w:szCs w:val="21"/>
        </w:rPr>
        <w:t>Certificate of Conformance</w:t>
      </w:r>
    </w:p>
    <w:p w:rsidR="00910100" w:rsidRDefault="0097284E" w:rsidP="00910100">
      <w:pPr>
        <w:pStyle w:val="ListParagraph"/>
        <w:numPr>
          <w:ilvl w:val="1"/>
          <w:numId w:val="2"/>
        </w:numPr>
        <w:rPr>
          <w:sz w:val="21"/>
          <w:szCs w:val="21"/>
        </w:rPr>
      </w:pPr>
      <w:r>
        <w:rPr>
          <w:sz w:val="21"/>
          <w:szCs w:val="21"/>
        </w:rPr>
        <w:t>Vendors</w:t>
      </w:r>
      <w:r w:rsidR="00910100" w:rsidRPr="00E96973">
        <w:rPr>
          <w:sz w:val="21"/>
          <w:szCs w:val="21"/>
        </w:rPr>
        <w:t xml:space="preserve"> shall provide a certificate of conformance with each shipme</w:t>
      </w:r>
      <w:r>
        <w:rPr>
          <w:sz w:val="21"/>
          <w:szCs w:val="21"/>
        </w:rPr>
        <w:t>nt which states that the product</w:t>
      </w:r>
      <w:r w:rsidR="00910100" w:rsidRPr="00E96973">
        <w:rPr>
          <w:sz w:val="21"/>
          <w:szCs w:val="21"/>
        </w:rPr>
        <w:t xml:space="preserve"> supplied meets all drawing specification and purchase order requirements.  The C of C shall include the part number(s) listed on the Accutite Fasteners purchase order, the production lot number(s), and the signature of an authorized representative of the </w:t>
      </w:r>
      <w:r>
        <w:rPr>
          <w:sz w:val="21"/>
          <w:szCs w:val="21"/>
        </w:rPr>
        <w:t>vendor</w:t>
      </w:r>
      <w:r w:rsidR="00910100" w:rsidRPr="00E96973">
        <w:rPr>
          <w:sz w:val="21"/>
          <w:szCs w:val="21"/>
        </w:rPr>
        <w:t>.</w:t>
      </w:r>
    </w:p>
    <w:p w:rsidR="0097284E" w:rsidRPr="00E96973" w:rsidRDefault="0097284E" w:rsidP="00910100">
      <w:pPr>
        <w:pStyle w:val="ListParagraph"/>
        <w:numPr>
          <w:ilvl w:val="1"/>
          <w:numId w:val="2"/>
        </w:numPr>
        <w:rPr>
          <w:sz w:val="21"/>
          <w:szCs w:val="21"/>
        </w:rPr>
      </w:pPr>
      <w:r>
        <w:rPr>
          <w:sz w:val="21"/>
          <w:szCs w:val="21"/>
        </w:rPr>
        <w:t>If a specific manufacturer has been requested on Accutite’s purchase order, that specified manufacturer must be used and the C of C must state that that manufacturer has been used.</w:t>
      </w:r>
    </w:p>
    <w:p w:rsidR="00910100" w:rsidRPr="00E96973" w:rsidRDefault="00910100" w:rsidP="00910100">
      <w:pPr>
        <w:pStyle w:val="ListParagraph"/>
        <w:numPr>
          <w:ilvl w:val="0"/>
          <w:numId w:val="2"/>
        </w:numPr>
        <w:rPr>
          <w:sz w:val="21"/>
          <w:szCs w:val="21"/>
        </w:rPr>
      </w:pPr>
      <w:r w:rsidRPr="00E96973">
        <w:rPr>
          <w:sz w:val="21"/>
          <w:szCs w:val="21"/>
        </w:rPr>
        <w:t>Handling</w:t>
      </w:r>
      <w:r w:rsidR="002C3911" w:rsidRPr="00E96973">
        <w:rPr>
          <w:sz w:val="21"/>
          <w:szCs w:val="21"/>
        </w:rPr>
        <w:t>, Preservation and Packing</w:t>
      </w:r>
    </w:p>
    <w:p w:rsidR="00805024" w:rsidRPr="00E96973" w:rsidRDefault="00805024" w:rsidP="002C3911">
      <w:pPr>
        <w:pStyle w:val="ListParagraph"/>
        <w:numPr>
          <w:ilvl w:val="1"/>
          <w:numId w:val="2"/>
        </w:numPr>
        <w:rPr>
          <w:sz w:val="21"/>
          <w:szCs w:val="21"/>
        </w:rPr>
      </w:pPr>
      <w:r w:rsidRPr="00E96973">
        <w:rPr>
          <w:sz w:val="21"/>
          <w:szCs w:val="21"/>
        </w:rPr>
        <w:t xml:space="preserve">The supplier shall ensure that the products supplied are protected from damage during production, inspection, packing and shipping operations. </w:t>
      </w:r>
    </w:p>
    <w:p w:rsidR="002C3911" w:rsidRPr="00E96973" w:rsidRDefault="00805024" w:rsidP="002C3911">
      <w:pPr>
        <w:pStyle w:val="ListParagraph"/>
        <w:numPr>
          <w:ilvl w:val="1"/>
          <w:numId w:val="2"/>
        </w:numPr>
        <w:rPr>
          <w:sz w:val="21"/>
          <w:szCs w:val="21"/>
        </w:rPr>
      </w:pPr>
      <w:r w:rsidRPr="00E96973">
        <w:rPr>
          <w:sz w:val="21"/>
          <w:szCs w:val="21"/>
        </w:rPr>
        <w:t xml:space="preserve"> Products found to be damaged upon receipt shall be subject to rejection.</w:t>
      </w:r>
    </w:p>
    <w:p w:rsidR="00805024" w:rsidRPr="00E96973" w:rsidRDefault="00805024" w:rsidP="00805024">
      <w:pPr>
        <w:pStyle w:val="ListParagraph"/>
        <w:numPr>
          <w:ilvl w:val="0"/>
          <w:numId w:val="2"/>
        </w:numPr>
        <w:rPr>
          <w:sz w:val="21"/>
          <w:szCs w:val="21"/>
        </w:rPr>
      </w:pPr>
      <w:r w:rsidRPr="00E96973">
        <w:rPr>
          <w:sz w:val="21"/>
          <w:szCs w:val="21"/>
        </w:rPr>
        <w:t>Flow-Down of Requirements</w:t>
      </w:r>
    </w:p>
    <w:p w:rsidR="00E96973" w:rsidRPr="00E676F5" w:rsidRDefault="00805024" w:rsidP="00E96973">
      <w:pPr>
        <w:pStyle w:val="ListParagraph"/>
        <w:numPr>
          <w:ilvl w:val="1"/>
          <w:numId w:val="2"/>
        </w:numPr>
        <w:rPr>
          <w:sz w:val="21"/>
          <w:szCs w:val="21"/>
        </w:rPr>
      </w:pPr>
      <w:r w:rsidRPr="00E96973">
        <w:rPr>
          <w:sz w:val="21"/>
          <w:szCs w:val="21"/>
        </w:rPr>
        <w:t>Suppliers are required to flow down the requirements of this purchase order to sub-tier suppliers and special processors.</w:t>
      </w:r>
    </w:p>
    <w:p w:rsidR="009F55A7" w:rsidRPr="00E96973" w:rsidRDefault="009F55A7" w:rsidP="009F55A7">
      <w:pPr>
        <w:pStyle w:val="ListParagraph"/>
        <w:numPr>
          <w:ilvl w:val="0"/>
          <w:numId w:val="2"/>
        </w:numPr>
        <w:rPr>
          <w:sz w:val="21"/>
          <w:szCs w:val="21"/>
        </w:rPr>
      </w:pPr>
      <w:r w:rsidRPr="00E96973">
        <w:rPr>
          <w:sz w:val="21"/>
          <w:szCs w:val="21"/>
        </w:rPr>
        <w:t>Flow-Up of Requirements</w:t>
      </w:r>
    </w:p>
    <w:p w:rsidR="009F55A7" w:rsidRPr="00E96973" w:rsidRDefault="009F55A7" w:rsidP="009F55A7">
      <w:pPr>
        <w:pStyle w:val="ListParagraph"/>
        <w:numPr>
          <w:ilvl w:val="1"/>
          <w:numId w:val="2"/>
        </w:numPr>
        <w:rPr>
          <w:sz w:val="21"/>
          <w:szCs w:val="21"/>
        </w:rPr>
      </w:pPr>
      <w:r w:rsidRPr="00E96973">
        <w:rPr>
          <w:sz w:val="21"/>
          <w:szCs w:val="21"/>
        </w:rPr>
        <w:t>Items requested may be used for aerospace, medical or transportation industries.  No restrictions by vendors.</w:t>
      </w:r>
    </w:p>
    <w:p w:rsidR="00805024" w:rsidRPr="00E96973" w:rsidRDefault="00805024" w:rsidP="00805024">
      <w:pPr>
        <w:pStyle w:val="ListParagraph"/>
        <w:numPr>
          <w:ilvl w:val="0"/>
          <w:numId w:val="2"/>
        </w:numPr>
        <w:rPr>
          <w:sz w:val="21"/>
          <w:szCs w:val="21"/>
        </w:rPr>
      </w:pPr>
      <w:r w:rsidRPr="00E96973">
        <w:rPr>
          <w:sz w:val="21"/>
          <w:szCs w:val="21"/>
        </w:rPr>
        <w:t>DFARS C</w:t>
      </w:r>
      <w:r w:rsidR="00B766FB">
        <w:rPr>
          <w:sz w:val="21"/>
          <w:szCs w:val="21"/>
        </w:rPr>
        <w:t>lause 252.225-701, RoHS, and REACH</w:t>
      </w:r>
    </w:p>
    <w:p w:rsidR="009F55A7" w:rsidRDefault="00805024" w:rsidP="009F55A7">
      <w:pPr>
        <w:pStyle w:val="ListParagraph"/>
        <w:numPr>
          <w:ilvl w:val="1"/>
          <w:numId w:val="2"/>
        </w:numPr>
        <w:rPr>
          <w:sz w:val="21"/>
          <w:szCs w:val="21"/>
        </w:rPr>
      </w:pPr>
      <w:r w:rsidRPr="00E96973">
        <w:rPr>
          <w:sz w:val="21"/>
          <w:szCs w:val="21"/>
        </w:rPr>
        <w:t>When the purchase order, part number, and/or description sp</w:t>
      </w:r>
      <w:r w:rsidR="00B766FB">
        <w:rPr>
          <w:sz w:val="21"/>
          <w:szCs w:val="21"/>
        </w:rPr>
        <w:t xml:space="preserve">ecifies DFARS, RoHS, and/or REACH </w:t>
      </w:r>
      <w:r w:rsidR="00890E21" w:rsidRPr="00E96973">
        <w:rPr>
          <w:sz w:val="21"/>
          <w:szCs w:val="21"/>
        </w:rPr>
        <w:t>requirements, parts must comply with the requirements detailed in their respective government regulations.</w:t>
      </w:r>
    </w:p>
    <w:p w:rsidR="00E676F5" w:rsidRDefault="00E676F5" w:rsidP="00E676F5">
      <w:pPr>
        <w:rPr>
          <w:sz w:val="21"/>
          <w:szCs w:val="21"/>
        </w:rPr>
      </w:pPr>
    </w:p>
    <w:p w:rsidR="00E676F5" w:rsidRPr="00E676F5" w:rsidRDefault="00E676F5" w:rsidP="00E676F5">
      <w:pPr>
        <w:rPr>
          <w:sz w:val="21"/>
          <w:szCs w:val="21"/>
        </w:rPr>
      </w:pPr>
    </w:p>
    <w:p w:rsidR="009B156E" w:rsidRDefault="009B156E" w:rsidP="009B156E">
      <w:pPr>
        <w:pStyle w:val="ListParagraph"/>
        <w:numPr>
          <w:ilvl w:val="0"/>
          <w:numId w:val="2"/>
        </w:numPr>
        <w:rPr>
          <w:sz w:val="21"/>
          <w:szCs w:val="21"/>
        </w:rPr>
      </w:pPr>
      <w:r>
        <w:rPr>
          <w:sz w:val="21"/>
          <w:szCs w:val="21"/>
        </w:rPr>
        <w:t>The Dodd-Frank Act</w:t>
      </w:r>
    </w:p>
    <w:p w:rsidR="009B156E" w:rsidRPr="00E96973" w:rsidRDefault="009B156E" w:rsidP="009B156E">
      <w:pPr>
        <w:pStyle w:val="ListParagraph"/>
        <w:numPr>
          <w:ilvl w:val="1"/>
          <w:numId w:val="2"/>
        </w:numPr>
        <w:rPr>
          <w:sz w:val="21"/>
          <w:szCs w:val="21"/>
        </w:rPr>
      </w:pPr>
      <w:r>
        <w:rPr>
          <w:sz w:val="21"/>
          <w:szCs w:val="21"/>
        </w:rPr>
        <w:t>Accutite supports the goals presented by the Dodd-Frank Act. Parts must comply with the requirements detailed in this Act, or notification of non-compliance must be given prior to shipment of this order.</w:t>
      </w:r>
    </w:p>
    <w:p w:rsidR="00890E21" w:rsidRPr="00E96973" w:rsidRDefault="00890E21" w:rsidP="00890E21">
      <w:pPr>
        <w:pStyle w:val="ListParagraph"/>
        <w:numPr>
          <w:ilvl w:val="0"/>
          <w:numId w:val="2"/>
        </w:numPr>
        <w:rPr>
          <w:sz w:val="21"/>
          <w:szCs w:val="21"/>
        </w:rPr>
      </w:pPr>
      <w:r w:rsidRPr="00E96973">
        <w:rPr>
          <w:sz w:val="21"/>
          <w:szCs w:val="21"/>
        </w:rPr>
        <w:t>Shipping Tolerance</w:t>
      </w:r>
    </w:p>
    <w:p w:rsidR="00EC7F85" w:rsidRPr="00E96973" w:rsidRDefault="00890E21" w:rsidP="007C5836">
      <w:pPr>
        <w:pStyle w:val="ListParagraph"/>
        <w:numPr>
          <w:ilvl w:val="1"/>
          <w:numId w:val="2"/>
        </w:numPr>
        <w:rPr>
          <w:sz w:val="21"/>
          <w:szCs w:val="21"/>
        </w:rPr>
      </w:pPr>
      <w:r w:rsidRPr="00E96973">
        <w:rPr>
          <w:sz w:val="21"/>
          <w:szCs w:val="21"/>
        </w:rPr>
        <w:t>The allowable quantity v</w:t>
      </w:r>
      <w:r w:rsidR="00032154" w:rsidRPr="00E96973">
        <w:rPr>
          <w:sz w:val="21"/>
          <w:szCs w:val="21"/>
        </w:rPr>
        <w:t>ariance for this purchase order</w:t>
      </w:r>
      <w:r w:rsidRPr="00E96973">
        <w:rPr>
          <w:sz w:val="21"/>
          <w:szCs w:val="21"/>
        </w:rPr>
        <w:t xml:space="preserve"> is </w:t>
      </w:r>
      <w:r w:rsidRPr="00E96973">
        <w:rPr>
          <w:rFonts w:ascii="Arial" w:hAnsi="Arial" w:cs="Arial"/>
          <w:spacing w:val="-1"/>
          <w:sz w:val="21"/>
          <w:szCs w:val="21"/>
        </w:rPr>
        <w:t xml:space="preserve">± </w:t>
      </w:r>
      <w:r w:rsidRPr="00E96973">
        <w:rPr>
          <w:sz w:val="21"/>
          <w:szCs w:val="21"/>
        </w:rPr>
        <w:t>10%. Any deviation from this variance must be approved by Accutite Fasteners’s Purchasing Department prior to shipment.</w:t>
      </w:r>
    </w:p>
    <w:p w:rsidR="00CD7BE4" w:rsidRPr="00E96973" w:rsidRDefault="00CD7BE4" w:rsidP="00CD7BE4">
      <w:pPr>
        <w:pStyle w:val="ListParagraph"/>
        <w:numPr>
          <w:ilvl w:val="0"/>
          <w:numId w:val="2"/>
        </w:numPr>
        <w:rPr>
          <w:sz w:val="21"/>
          <w:szCs w:val="21"/>
        </w:rPr>
      </w:pPr>
      <w:r w:rsidRPr="00E96973">
        <w:rPr>
          <w:sz w:val="21"/>
          <w:szCs w:val="21"/>
        </w:rPr>
        <w:t>Record Retention</w:t>
      </w:r>
    </w:p>
    <w:p w:rsidR="00CD7BE4" w:rsidRPr="00E96973" w:rsidRDefault="00032154" w:rsidP="00032154">
      <w:pPr>
        <w:pStyle w:val="ListParagraph"/>
        <w:numPr>
          <w:ilvl w:val="1"/>
          <w:numId w:val="2"/>
        </w:numPr>
        <w:rPr>
          <w:sz w:val="21"/>
          <w:szCs w:val="21"/>
        </w:rPr>
      </w:pPr>
      <w:r w:rsidRPr="00E96973">
        <w:rPr>
          <w:sz w:val="21"/>
          <w:szCs w:val="21"/>
        </w:rPr>
        <w:t>Product inspection records, test reports and other documentation indicating conformance to Accutite Fasteners, Inc. purchase orders must be retained by the supplier a minimum of 10 years from the date of shipment.</w:t>
      </w:r>
    </w:p>
    <w:p w:rsidR="00032154" w:rsidRPr="00E96973" w:rsidRDefault="00032154" w:rsidP="00032154">
      <w:pPr>
        <w:pStyle w:val="ListParagraph"/>
        <w:numPr>
          <w:ilvl w:val="1"/>
          <w:numId w:val="2"/>
        </w:numPr>
        <w:rPr>
          <w:sz w:val="21"/>
          <w:szCs w:val="21"/>
        </w:rPr>
      </w:pPr>
      <w:r w:rsidRPr="00E96973">
        <w:rPr>
          <w:sz w:val="21"/>
          <w:szCs w:val="21"/>
        </w:rPr>
        <w:t>If a third party supplier is to be used, these requirements must be flowed down to said third party supplier.</w:t>
      </w:r>
    </w:p>
    <w:p w:rsidR="00032154" w:rsidRPr="00E96973" w:rsidRDefault="00032154" w:rsidP="00032154">
      <w:pPr>
        <w:pStyle w:val="ListParagraph"/>
        <w:numPr>
          <w:ilvl w:val="1"/>
          <w:numId w:val="2"/>
        </w:numPr>
        <w:rPr>
          <w:sz w:val="21"/>
          <w:szCs w:val="21"/>
        </w:rPr>
      </w:pPr>
      <w:r w:rsidRPr="00E96973">
        <w:rPr>
          <w:sz w:val="21"/>
          <w:szCs w:val="21"/>
        </w:rPr>
        <w:t>Notification must be given to Accutite 30 days prior to the destruction of any records.</w:t>
      </w:r>
    </w:p>
    <w:p w:rsidR="00032154" w:rsidRPr="00E96973" w:rsidRDefault="00032154" w:rsidP="00032154">
      <w:pPr>
        <w:pStyle w:val="ListParagraph"/>
        <w:numPr>
          <w:ilvl w:val="0"/>
          <w:numId w:val="2"/>
        </w:numPr>
        <w:rPr>
          <w:sz w:val="21"/>
          <w:szCs w:val="21"/>
        </w:rPr>
      </w:pPr>
      <w:r w:rsidRPr="00E96973">
        <w:rPr>
          <w:sz w:val="21"/>
          <w:szCs w:val="21"/>
        </w:rPr>
        <w:t>Mercury and Mercury Compounds</w:t>
      </w:r>
    </w:p>
    <w:p w:rsidR="00633648" w:rsidRDefault="00032154" w:rsidP="00633648">
      <w:pPr>
        <w:pStyle w:val="ListParagraph"/>
        <w:numPr>
          <w:ilvl w:val="1"/>
          <w:numId w:val="2"/>
        </w:numPr>
        <w:rPr>
          <w:sz w:val="21"/>
          <w:szCs w:val="21"/>
        </w:rPr>
      </w:pPr>
      <w:r w:rsidRPr="00E96973">
        <w:rPr>
          <w:sz w:val="21"/>
          <w:szCs w:val="21"/>
        </w:rPr>
        <w:t>The supplier is responsible for ensuring that the products supplied did not come into contact with mercury or mercury compounds during manufacturing or subsequent processing.</w:t>
      </w:r>
    </w:p>
    <w:p w:rsidR="002978EF" w:rsidRDefault="002978EF" w:rsidP="002978EF">
      <w:pPr>
        <w:pStyle w:val="ListParagraph"/>
        <w:numPr>
          <w:ilvl w:val="0"/>
          <w:numId w:val="2"/>
        </w:numPr>
        <w:rPr>
          <w:sz w:val="21"/>
          <w:szCs w:val="21"/>
        </w:rPr>
      </w:pPr>
      <w:r>
        <w:rPr>
          <w:sz w:val="21"/>
          <w:szCs w:val="21"/>
        </w:rPr>
        <w:t>Ozone Depleting Substances</w:t>
      </w:r>
    </w:p>
    <w:p w:rsidR="002978EF" w:rsidRDefault="002978EF" w:rsidP="002978EF">
      <w:pPr>
        <w:pStyle w:val="ListParagraph"/>
        <w:numPr>
          <w:ilvl w:val="1"/>
          <w:numId w:val="2"/>
        </w:numPr>
        <w:rPr>
          <w:sz w:val="21"/>
          <w:szCs w:val="21"/>
        </w:rPr>
      </w:pPr>
      <w:r>
        <w:rPr>
          <w:sz w:val="21"/>
          <w:szCs w:val="21"/>
        </w:rPr>
        <w:t>The supp</w:t>
      </w:r>
      <w:r w:rsidR="000D6778">
        <w:rPr>
          <w:sz w:val="21"/>
          <w:szCs w:val="21"/>
        </w:rPr>
        <w:t>lier is responsible to ensure that ozone-depleting substances were not used during the manufacturing or processing of the material supplied on this purchase order.</w:t>
      </w:r>
    </w:p>
    <w:p w:rsidR="00E676F5" w:rsidRDefault="00E676F5" w:rsidP="00E676F5">
      <w:pPr>
        <w:rPr>
          <w:sz w:val="21"/>
          <w:szCs w:val="21"/>
        </w:rPr>
      </w:pPr>
    </w:p>
    <w:p w:rsidR="00E676F5" w:rsidRDefault="00E676F5" w:rsidP="00E676F5">
      <w:pPr>
        <w:rPr>
          <w:sz w:val="21"/>
          <w:szCs w:val="21"/>
        </w:rPr>
      </w:pPr>
    </w:p>
    <w:p w:rsidR="00E676F5" w:rsidRPr="00E676F5" w:rsidRDefault="00E676F5" w:rsidP="00E676F5">
      <w:pPr>
        <w:rPr>
          <w:sz w:val="21"/>
          <w:szCs w:val="21"/>
        </w:rPr>
      </w:pPr>
    </w:p>
    <w:p w:rsidR="009F55A7" w:rsidRPr="00E96973" w:rsidRDefault="009F55A7" w:rsidP="009F55A7">
      <w:pPr>
        <w:pStyle w:val="ListParagraph"/>
        <w:numPr>
          <w:ilvl w:val="0"/>
          <w:numId w:val="2"/>
        </w:numPr>
        <w:rPr>
          <w:sz w:val="21"/>
          <w:szCs w:val="21"/>
        </w:rPr>
      </w:pPr>
      <w:r w:rsidRPr="00E96973">
        <w:rPr>
          <w:sz w:val="21"/>
          <w:szCs w:val="21"/>
        </w:rPr>
        <w:lastRenderedPageBreak/>
        <w:t>Counterfeit Parts Prevention</w:t>
      </w:r>
    </w:p>
    <w:p w:rsidR="009F55A7" w:rsidRPr="00E96973" w:rsidRDefault="009F55A7" w:rsidP="009F55A7">
      <w:pPr>
        <w:pStyle w:val="ListParagraph"/>
        <w:numPr>
          <w:ilvl w:val="1"/>
          <w:numId w:val="2"/>
        </w:numPr>
        <w:rPr>
          <w:sz w:val="21"/>
          <w:szCs w:val="21"/>
        </w:rPr>
      </w:pPr>
      <w:r w:rsidRPr="00E96973">
        <w:rPr>
          <w:sz w:val="21"/>
          <w:szCs w:val="21"/>
        </w:rPr>
        <w:t>For the purposes of this clause, “Work” consists of those parts delivered under this contract that are the lowest level of separately identifiable items (e.g. articles, components, goods, and assemblies).  “Counterfeit Work” consists of “Work” that is or contains items misrepresented as having been designed and/or produced under an approved system or other acceptable method.  The term also included approved “Work” that has reached a design life limit or has been damaged beyond possible repair, but is altered and/or misrepresented as acceptable.</w:t>
      </w:r>
    </w:p>
    <w:p w:rsidR="009F55A7" w:rsidRPr="00E96973" w:rsidRDefault="009F55A7" w:rsidP="009F55A7">
      <w:pPr>
        <w:pStyle w:val="ListParagraph"/>
        <w:numPr>
          <w:ilvl w:val="1"/>
          <w:numId w:val="2"/>
        </w:numPr>
        <w:rPr>
          <w:sz w:val="21"/>
          <w:szCs w:val="21"/>
        </w:rPr>
      </w:pPr>
      <w:r w:rsidRPr="00E96973">
        <w:rPr>
          <w:sz w:val="21"/>
          <w:szCs w:val="21"/>
        </w:rPr>
        <w:t>The Seller agrees and shall ensure that Counterfeit Work is not delivered to Accutite Fasteners, Inc.</w:t>
      </w:r>
    </w:p>
    <w:p w:rsidR="009F55A7" w:rsidRPr="00E96973" w:rsidRDefault="009F55A7" w:rsidP="009F55A7">
      <w:pPr>
        <w:pStyle w:val="ListParagraph"/>
        <w:numPr>
          <w:ilvl w:val="1"/>
          <w:numId w:val="2"/>
        </w:numPr>
        <w:rPr>
          <w:sz w:val="21"/>
          <w:szCs w:val="21"/>
        </w:rPr>
      </w:pPr>
      <w:r w:rsidRPr="00E96973">
        <w:rPr>
          <w:sz w:val="21"/>
          <w:szCs w:val="21"/>
        </w:rPr>
        <w:t>The Seller shall only provide products to be delivered or incorporated as Work to Accutite Faste</w:t>
      </w:r>
      <w:r w:rsidR="005E0C0E">
        <w:rPr>
          <w:sz w:val="21"/>
          <w:szCs w:val="21"/>
        </w:rPr>
        <w:t>ne</w:t>
      </w:r>
      <w:r w:rsidRPr="00E96973">
        <w:rPr>
          <w:sz w:val="21"/>
          <w:szCs w:val="21"/>
        </w:rPr>
        <w:t>rs, Inc. directly from the original manufacturer, or through the manufacturer’s authorized distributor chain.  Work shall not be acquired from independent distributors</w:t>
      </w:r>
      <w:r w:rsidR="00633648" w:rsidRPr="00E96973">
        <w:rPr>
          <w:sz w:val="21"/>
          <w:szCs w:val="21"/>
        </w:rPr>
        <w:t xml:space="preserve"> or brokers unless approved in advance in writing by Accutite Fasteners, Inc.</w:t>
      </w:r>
    </w:p>
    <w:p w:rsidR="00633648" w:rsidRDefault="00633648" w:rsidP="00633648">
      <w:pPr>
        <w:pStyle w:val="ListParagraph"/>
        <w:numPr>
          <w:ilvl w:val="1"/>
          <w:numId w:val="2"/>
        </w:numPr>
        <w:rPr>
          <w:sz w:val="21"/>
          <w:szCs w:val="21"/>
        </w:rPr>
      </w:pPr>
      <w:r w:rsidRPr="00E96973">
        <w:rPr>
          <w:sz w:val="21"/>
          <w:szCs w:val="21"/>
        </w:rPr>
        <w:t>The Seller shall immediately notify Accutite Fasteners, Inc. with the pertinent facts if the Seller becomes aware or suspects that it has furnished counterfeit work.  When requested by Accutite Fasteners, Inc., the Seller shall provide documentation from the manufacturer that authenticates traceability of the affected items to the applicable manufacturer.</w:t>
      </w:r>
    </w:p>
    <w:p w:rsidR="00E937B5" w:rsidRDefault="00E937B5" w:rsidP="00E937B5">
      <w:pPr>
        <w:pStyle w:val="ListParagraph"/>
        <w:numPr>
          <w:ilvl w:val="0"/>
          <w:numId w:val="2"/>
        </w:numPr>
        <w:rPr>
          <w:sz w:val="21"/>
          <w:szCs w:val="21"/>
        </w:rPr>
      </w:pPr>
      <w:r>
        <w:rPr>
          <w:sz w:val="21"/>
          <w:szCs w:val="21"/>
        </w:rPr>
        <w:t>Suppliers to maintain quality management system compliant to ISO 9001, and calibration system compliant to ANSI Z540, ISO 10012, or ISO17025.</w:t>
      </w:r>
    </w:p>
    <w:p w:rsidR="00E937B5" w:rsidRPr="00E96973" w:rsidRDefault="00E937B5" w:rsidP="00E937B5">
      <w:pPr>
        <w:pStyle w:val="ListParagraph"/>
        <w:numPr>
          <w:ilvl w:val="0"/>
          <w:numId w:val="2"/>
        </w:numPr>
        <w:rPr>
          <w:sz w:val="21"/>
          <w:szCs w:val="21"/>
        </w:rPr>
      </w:pPr>
      <w:r>
        <w:rPr>
          <w:sz w:val="21"/>
          <w:szCs w:val="21"/>
        </w:rPr>
        <w:t xml:space="preserve">Suppliers to ensure that persons are aware of their contribution to product or service conformity, product safety, and importance of ethical behavior by complying </w:t>
      </w:r>
      <w:proofErr w:type="gramStart"/>
      <w:r>
        <w:rPr>
          <w:sz w:val="21"/>
          <w:szCs w:val="21"/>
        </w:rPr>
        <w:t>to</w:t>
      </w:r>
      <w:proofErr w:type="gramEnd"/>
      <w:r>
        <w:rPr>
          <w:sz w:val="21"/>
          <w:szCs w:val="21"/>
        </w:rPr>
        <w:t xml:space="preserve"> all PO requirements.</w:t>
      </w:r>
      <w:bookmarkStart w:id="0" w:name="_GoBack"/>
      <w:bookmarkEnd w:id="0"/>
    </w:p>
    <w:p w:rsidR="006065DE" w:rsidRPr="00E96973" w:rsidRDefault="006065DE" w:rsidP="006065DE">
      <w:pPr>
        <w:rPr>
          <w:sz w:val="21"/>
          <w:szCs w:val="21"/>
        </w:rPr>
      </w:pPr>
    </w:p>
    <w:p w:rsidR="006065DE" w:rsidRPr="00E96973" w:rsidRDefault="006065DE" w:rsidP="006065DE">
      <w:pPr>
        <w:rPr>
          <w:sz w:val="21"/>
          <w:szCs w:val="21"/>
        </w:rPr>
      </w:pPr>
    </w:p>
    <w:p w:rsidR="006065DE" w:rsidRPr="00E96973" w:rsidRDefault="006065DE" w:rsidP="006065DE">
      <w:pPr>
        <w:rPr>
          <w:sz w:val="21"/>
          <w:szCs w:val="21"/>
        </w:rPr>
      </w:pPr>
    </w:p>
    <w:p w:rsidR="006065DE" w:rsidRPr="00E96973" w:rsidRDefault="006065DE" w:rsidP="006065DE">
      <w:pPr>
        <w:rPr>
          <w:sz w:val="21"/>
          <w:szCs w:val="21"/>
        </w:rPr>
      </w:pPr>
    </w:p>
    <w:p w:rsidR="006065DE" w:rsidRPr="00E96973" w:rsidRDefault="006065DE" w:rsidP="006065DE">
      <w:pPr>
        <w:rPr>
          <w:sz w:val="21"/>
          <w:szCs w:val="21"/>
        </w:rPr>
        <w:sectPr w:rsidR="006065DE" w:rsidRPr="00E96973" w:rsidSect="000C12E7">
          <w:headerReference w:type="default" r:id="rId9"/>
          <w:pgSz w:w="15840" w:h="12240" w:orient="landscape"/>
          <w:pgMar w:top="1080" w:right="1440" w:bottom="1080" w:left="1440" w:header="720" w:footer="720" w:gutter="0"/>
          <w:cols w:num="2" w:space="18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1530"/>
        <w:gridCol w:w="9360"/>
        <w:gridCol w:w="1890"/>
      </w:tblGrid>
      <w:tr w:rsidR="00EA72ED" w:rsidRPr="00E96973" w:rsidTr="00EA72ED">
        <w:trPr>
          <w:trHeight w:val="432"/>
        </w:trPr>
        <w:tc>
          <w:tcPr>
            <w:tcW w:w="378" w:type="dxa"/>
            <w:tcBorders>
              <w:top w:val="single" w:sz="18" w:space="0" w:color="auto"/>
              <w:left w:val="single" w:sz="18" w:space="0" w:color="auto"/>
              <w:bottom w:val="single" w:sz="18" w:space="0" w:color="auto"/>
              <w:right w:val="single" w:sz="18" w:space="0" w:color="auto"/>
            </w:tcBorders>
          </w:tcPr>
          <w:bookmarkStart w:id="1" w:name="Revision"/>
          <w:p w:rsidR="006065DE" w:rsidRPr="00E96973" w:rsidRDefault="006065DE" w:rsidP="00603572">
            <w:pPr>
              <w:pStyle w:val="MainParagraph"/>
              <w:jc w:val="center"/>
              <w:rPr>
                <w:sz w:val="21"/>
                <w:szCs w:val="21"/>
                <w:u w:val="none"/>
              </w:rPr>
            </w:pPr>
            <w:r w:rsidRPr="00E96973">
              <w:rPr>
                <w:sz w:val="21"/>
                <w:szCs w:val="21"/>
                <w:u w:val="none"/>
              </w:rPr>
              <w:lastRenderedPageBreak/>
              <w:fldChar w:fldCharType="begin"/>
            </w:r>
            <w:r w:rsidRPr="00E96973">
              <w:rPr>
                <w:sz w:val="21"/>
                <w:szCs w:val="21"/>
                <w:u w:val="none"/>
              </w:rPr>
              <w:instrText xml:space="preserve"> =SUM(below) </w:instrText>
            </w:r>
            <w:r w:rsidRPr="00E96973">
              <w:rPr>
                <w:sz w:val="21"/>
                <w:szCs w:val="21"/>
                <w:u w:val="none"/>
              </w:rPr>
              <w:fldChar w:fldCharType="separate"/>
            </w:r>
            <w:r w:rsidR="00E937B5">
              <w:rPr>
                <w:noProof/>
                <w:sz w:val="21"/>
                <w:szCs w:val="21"/>
                <w:u w:val="none"/>
              </w:rPr>
              <w:t>8</w:t>
            </w:r>
            <w:r w:rsidRPr="00E96973">
              <w:rPr>
                <w:sz w:val="21"/>
                <w:szCs w:val="21"/>
                <w:u w:val="none"/>
              </w:rPr>
              <w:fldChar w:fldCharType="end"/>
            </w:r>
            <w:bookmarkEnd w:id="1"/>
          </w:p>
        </w:tc>
        <w:tc>
          <w:tcPr>
            <w:tcW w:w="1530" w:type="dxa"/>
            <w:tcBorders>
              <w:top w:val="single" w:sz="18" w:space="0" w:color="auto"/>
              <w:left w:val="single" w:sz="18" w:space="0" w:color="auto"/>
              <w:bottom w:val="single" w:sz="18" w:space="0" w:color="auto"/>
              <w:right w:val="single" w:sz="18" w:space="0" w:color="auto"/>
            </w:tcBorders>
          </w:tcPr>
          <w:p w:rsidR="006065DE" w:rsidRPr="00E96973" w:rsidRDefault="006065DE" w:rsidP="00603572">
            <w:pPr>
              <w:pStyle w:val="MainParagraph"/>
              <w:jc w:val="center"/>
              <w:rPr>
                <w:sz w:val="21"/>
                <w:szCs w:val="21"/>
                <w:u w:val="none"/>
              </w:rPr>
            </w:pPr>
            <w:r w:rsidRPr="00E96973">
              <w:rPr>
                <w:sz w:val="21"/>
                <w:szCs w:val="21"/>
                <w:u w:val="none"/>
              </w:rPr>
              <w:t>Revision Date</w:t>
            </w:r>
          </w:p>
        </w:tc>
        <w:tc>
          <w:tcPr>
            <w:tcW w:w="9360" w:type="dxa"/>
            <w:tcBorders>
              <w:top w:val="single" w:sz="18" w:space="0" w:color="auto"/>
              <w:left w:val="single" w:sz="18" w:space="0" w:color="auto"/>
              <w:bottom w:val="single" w:sz="18" w:space="0" w:color="auto"/>
              <w:right w:val="single" w:sz="18" w:space="0" w:color="auto"/>
            </w:tcBorders>
          </w:tcPr>
          <w:p w:rsidR="006065DE" w:rsidRPr="00E96973" w:rsidRDefault="006065DE" w:rsidP="00603572">
            <w:pPr>
              <w:pStyle w:val="MainParagraph"/>
              <w:jc w:val="center"/>
              <w:rPr>
                <w:sz w:val="21"/>
                <w:szCs w:val="21"/>
                <w:u w:val="none"/>
              </w:rPr>
            </w:pPr>
            <w:r w:rsidRPr="00E96973">
              <w:rPr>
                <w:sz w:val="21"/>
                <w:szCs w:val="21"/>
                <w:u w:val="none"/>
              </w:rPr>
              <w:t>Revision Details</w:t>
            </w:r>
          </w:p>
        </w:tc>
        <w:tc>
          <w:tcPr>
            <w:tcW w:w="1890" w:type="dxa"/>
            <w:tcBorders>
              <w:top w:val="single" w:sz="18" w:space="0" w:color="auto"/>
              <w:left w:val="single" w:sz="18" w:space="0" w:color="auto"/>
              <w:bottom w:val="single" w:sz="18" w:space="0" w:color="auto"/>
              <w:right w:val="single" w:sz="18" w:space="0" w:color="auto"/>
            </w:tcBorders>
          </w:tcPr>
          <w:p w:rsidR="006065DE" w:rsidRPr="00E96973" w:rsidRDefault="006065DE" w:rsidP="00603572">
            <w:pPr>
              <w:pStyle w:val="MainParagraph"/>
              <w:jc w:val="center"/>
              <w:rPr>
                <w:sz w:val="21"/>
                <w:szCs w:val="21"/>
                <w:u w:val="none"/>
              </w:rPr>
            </w:pPr>
            <w:r w:rsidRPr="00E96973">
              <w:rPr>
                <w:sz w:val="21"/>
                <w:szCs w:val="21"/>
                <w:u w:val="none"/>
              </w:rPr>
              <w:t>Revised By</w:t>
            </w:r>
          </w:p>
        </w:tc>
      </w:tr>
      <w:tr w:rsidR="00EA72ED" w:rsidRPr="00E96973" w:rsidTr="00EA72ED">
        <w:trPr>
          <w:trHeight w:val="288"/>
        </w:trPr>
        <w:tc>
          <w:tcPr>
            <w:tcW w:w="378" w:type="dxa"/>
            <w:tcBorders>
              <w:top w:val="single" w:sz="18" w:space="0" w:color="auto"/>
            </w:tcBorders>
          </w:tcPr>
          <w:p w:rsidR="006065DE" w:rsidRPr="00E96973" w:rsidRDefault="006065DE" w:rsidP="00603572">
            <w:pPr>
              <w:pStyle w:val="MainParagraph"/>
              <w:jc w:val="center"/>
              <w:rPr>
                <w:sz w:val="21"/>
                <w:szCs w:val="21"/>
                <w:u w:val="none"/>
              </w:rPr>
            </w:pPr>
            <w:r w:rsidRPr="00E96973">
              <w:rPr>
                <w:sz w:val="21"/>
                <w:szCs w:val="21"/>
                <w:u w:val="none"/>
              </w:rPr>
              <w:t>1</w:t>
            </w:r>
          </w:p>
        </w:tc>
        <w:tc>
          <w:tcPr>
            <w:tcW w:w="1530" w:type="dxa"/>
            <w:tcBorders>
              <w:top w:val="single" w:sz="18" w:space="0" w:color="auto"/>
            </w:tcBorders>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3/13/13</w:t>
            </w:r>
          </w:p>
        </w:tc>
        <w:tc>
          <w:tcPr>
            <w:tcW w:w="9360" w:type="dxa"/>
            <w:tcBorders>
              <w:top w:val="single" w:sz="18" w:space="0" w:color="auto"/>
            </w:tcBorders>
          </w:tcPr>
          <w:p w:rsidR="006065DE" w:rsidRPr="00E96973" w:rsidRDefault="006065DE" w:rsidP="00603572">
            <w:pPr>
              <w:pStyle w:val="MainParagraph"/>
              <w:rPr>
                <w:rFonts w:cs="Times New Roman"/>
                <w:sz w:val="21"/>
                <w:szCs w:val="21"/>
                <w:u w:val="none"/>
              </w:rPr>
            </w:pPr>
            <w:r w:rsidRPr="00E96973">
              <w:rPr>
                <w:rFonts w:cs="Times New Roman"/>
                <w:sz w:val="21"/>
                <w:szCs w:val="21"/>
                <w:u w:val="none"/>
              </w:rPr>
              <w:t>Draft Copy</w:t>
            </w:r>
          </w:p>
        </w:tc>
        <w:tc>
          <w:tcPr>
            <w:tcW w:w="1890" w:type="dxa"/>
            <w:tcBorders>
              <w:top w:val="single" w:sz="18" w:space="0" w:color="auto"/>
            </w:tcBorders>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Shane Murray</w:t>
            </w:r>
          </w:p>
        </w:tc>
      </w:tr>
      <w:tr w:rsidR="00EA72ED" w:rsidRPr="00E96973" w:rsidTr="00EA72ED">
        <w:trPr>
          <w:trHeight w:val="288"/>
        </w:trPr>
        <w:tc>
          <w:tcPr>
            <w:tcW w:w="378" w:type="dxa"/>
          </w:tcPr>
          <w:p w:rsidR="006065DE" w:rsidRPr="00E96973" w:rsidRDefault="006065DE" w:rsidP="00603572">
            <w:pPr>
              <w:pStyle w:val="MainParagraph"/>
              <w:jc w:val="center"/>
              <w:rPr>
                <w:sz w:val="21"/>
                <w:szCs w:val="21"/>
                <w:u w:val="none"/>
              </w:rPr>
            </w:pPr>
            <w:r w:rsidRPr="00E96973">
              <w:rPr>
                <w:sz w:val="21"/>
                <w:szCs w:val="21"/>
                <w:u w:val="none"/>
              </w:rPr>
              <w:t>1</w:t>
            </w:r>
          </w:p>
        </w:tc>
        <w:tc>
          <w:tcPr>
            <w:tcW w:w="1530" w:type="dxa"/>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3/14/13</w:t>
            </w:r>
          </w:p>
        </w:tc>
        <w:tc>
          <w:tcPr>
            <w:tcW w:w="9360" w:type="dxa"/>
          </w:tcPr>
          <w:p w:rsidR="006065DE" w:rsidRPr="00E96973" w:rsidRDefault="006065DE" w:rsidP="00603572">
            <w:pPr>
              <w:pStyle w:val="MainParagraph"/>
              <w:rPr>
                <w:rFonts w:cs="Times New Roman"/>
                <w:sz w:val="21"/>
                <w:szCs w:val="21"/>
                <w:u w:val="none"/>
              </w:rPr>
            </w:pPr>
            <w:r w:rsidRPr="00E96973">
              <w:rPr>
                <w:rFonts w:cs="Times New Roman"/>
                <w:sz w:val="21"/>
                <w:szCs w:val="21"/>
                <w:u w:val="none"/>
              </w:rPr>
              <w:t>Published Copy</w:t>
            </w:r>
          </w:p>
        </w:tc>
        <w:tc>
          <w:tcPr>
            <w:tcW w:w="1890" w:type="dxa"/>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Shane Murray</w:t>
            </w:r>
          </w:p>
        </w:tc>
      </w:tr>
      <w:tr w:rsidR="00EA72ED" w:rsidRPr="00E96973" w:rsidTr="00EA72ED">
        <w:trPr>
          <w:trHeight w:val="288"/>
        </w:trPr>
        <w:tc>
          <w:tcPr>
            <w:tcW w:w="378" w:type="dxa"/>
          </w:tcPr>
          <w:p w:rsidR="006065DE" w:rsidRPr="00E96973" w:rsidRDefault="006065DE" w:rsidP="00603572">
            <w:pPr>
              <w:pStyle w:val="MainParagraph"/>
              <w:jc w:val="center"/>
              <w:rPr>
                <w:sz w:val="21"/>
                <w:szCs w:val="21"/>
                <w:u w:val="none"/>
              </w:rPr>
            </w:pPr>
            <w:r w:rsidRPr="00E96973">
              <w:rPr>
                <w:sz w:val="21"/>
                <w:szCs w:val="21"/>
                <w:u w:val="none"/>
              </w:rPr>
              <w:t>1</w:t>
            </w:r>
          </w:p>
        </w:tc>
        <w:tc>
          <w:tcPr>
            <w:tcW w:w="1530" w:type="dxa"/>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1/22/14</w:t>
            </w:r>
          </w:p>
        </w:tc>
        <w:tc>
          <w:tcPr>
            <w:tcW w:w="9360" w:type="dxa"/>
          </w:tcPr>
          <w:p w:rsidR="006065DE" w:rsidRPr="00E96973" w:rsidRDefault="006065DE" w:rsidP="00603572">
            <w:pPr>
              <w:pStyle w:val="MainParagraph"/>
              <w:rPr>
                <w:rFonts w:cs="Times New Roman"/>
                <w:sz w:val="21"/>
                <w:szCs w:val="21"/>
                <w:u w:val="none"/>
              </w:rPr>
            </w:pPr>
            <w:r w:rsidRPr="00E96973">
              <w:rPr>
                <w:rFonts w:cs="Times New Roman"/>
                <w:sz w:val="21"/>
                <w:szCs w:val="21"/>
                <w:u w:val="none"/>
              </w:rPr>
              <w:t>Revised published copy to more accurately reflect the purchasing requirements of Accutite Fasteners, Inc. Removed “Quality Management System” requirement. Removed “Ozone Depleting Substances” requirement. Removed “Single Lot” requirement.  Removed clauses 1-7 as they are included part-specific on PO’s.</w:t>
            </w:r>
          </w:p>
        </w:tc>
        <w:tc>
          <w:tcPr>
            <w:tcW w:w="1890" w:type="dxa"/>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QMT</w:t>
            </w:r>
          </w:p>
        </w:tc>
      </w:tr>
      <w:tr w:rsidR="00EA72ED" w:rsidRPr="00E96973" w:rsidTr="00EA72ED">
        <w:trPr>
          <w:trHeight w:val="288"/>
        </w:trPr>
        <w:tc>
          <w:tcPr>
            <w:tcW w:w="378" w:type="dxa"/>
          </w:tcPr>
          <w:p w:rsidR="006065DE" w:rsidRPr="00E96973" w:rsidRDefault="00BA66BE" w:rsidP="00603572">
            <w:pPr>
              <w:pStyle w:val="MainParagraph"/>
              <w:jc w:val="center"/>
              <w:rPr>
                <w:sz w:val="21"/>
                <w:szCs w:val="21"/>
                <w:u w:val="none"/>
              </w:rPr>
            </w:pPr>
            <w:r>
              <w:rPr>
                <w:sz w:val="21"/>
                <w:szCs w:val="21"/>
                <w:u w:val="none"/>
              </w:rPr>
              <w:t>1</w:t>
            </w:r>
          </w:p>
        </w:tc>
        <w:tc>
          <w:tcPr>
            <w:tcW w:w="1530" w:type="dxa"/>
          </w:tcPr>
          <w:p w:rsidR="006065DE" w:rsidRPr="00E96973" w:rsidRDefault="00BA66BE" w:rsidP="00603572">
            <w:pPr>
              <w:pStyle w:val="MainParagraph"/>
              <w:jc w:val="center"/>
              <w:rPr>
                <w:rFonts w:cs="Times New Roman"/>
                <w:sz w:val="21"/>
                <w:szCs w:val="21"/>
                <w:u w:val="none"/>
              </w:rPr>
            </w:pPr>
            <w:r>
              <w:rPr>
                <w:rFonts w:cs="Times New Roman"/>
                <w:sz w:val="21"/>
                <w:szCs w:val="21"/>
                <w:u w:val="none"/>
              </w:rPr>
              <w:t>2/20/14</w:t>
            </w:r>
          </w:p>
        </w:tc>
        <w:tc>
          <w:tcPr>
            <w:tcW w:w="9360" w:type="dxa"/>
          </w:tcPr>
          <w:p w:rsidR="006065DE" w:rsidRPr="00E96973" w:rsidRDefault="00BA66BE" w:rsidP="00603572">
            <w:pPr>
              <w:pStyle w:val="MainParagraph"/>
              <w:rPr>
                <w:rFonts w:cs="Times New Roman"/>
                <w:sz w:val="21"/>
                <w:szCs w:val="21"/>
                <w:u w:val="none"/>
              </w:rPr>
            </w:pPr>
            <w:r>
              <w:rPr>
                <w:rFonts w:cs="Times New Roman"/>
                <w:sz w:val="21"/>
                <w:szCs w:val="21"/>
                <w:u w:val="none"/>
              </w:rPr>
              <w:t>Added back in “Ozone Depleting Substances” requirement</w:t>
            </w:r>
          </w:p>
        </w:tc>
        <w:tc>
          <w:tcPr>
            <w:tcW w:w="1890" w:type="dxa"/>
          </w:tcPr>
          <w:p w:rsidR="006065DE" w:rsidRPr="00E96973" w:rsidRDefault="00BA66BE" w:rsidP="00EA72ED">
            <w:pPr>
              <w:pStyle w:val="MainParagraph"/>
              <w:jc w:val="center"/>
              <w:rPr>
                <w:rFonts w:cs="Times New Roman"/>
                <w:sz w:val="21"/>
                <w:szCs w:val="21"/>
                <w:u w:val="none"/>
              </w:rPr>
            </w:pPr>
            <w:r>
              <w:rPr>
                <w:rFonts w:cs="Times New Roman"/>
                <w:sz w:val="21"/>
                <w:szCs w:val="21"/>
                <w:u w:val="none"/>
              </w:rPr>
              <w:t>QMT</w:t>
            </w:r>
          </w:p>
        </w:tc>
      </w:tr>
      <w:tr w:rsidR="00EA72ED" w:rsidRPr="00E96973" w:rsidTr="00EA72ED">
        <w:trPr>
          <w:trHeight w:val="288"/>
        </w:trPr>
        <w:tc>
          <w:tcPr>
            <w:tcW w:w="378" w:type="dxa"/>
          </w:tcPr>
          <w:p w:rsidR="006065DE" w:rsidRPr="00E96973" w:rsidRDefault="00901528" w:rsidP="00603572">
            <w:pPr>
              <w:pStyle w:val="MainParagraph"/>
              <w:jc w:val="center"/>
              <w:rPr>
                <w:rFonts w:cs="Times New Roman"/>
                <w:sz w:val="21"/>
                <w:szCs w:val="21"/>
                <w:u w:val="none"/>
              </w:rPr>
            </w:pPr>
            <w:r>
              <w:rPr>
                <w:rFonts w:cs="Times New Roman"/>
                <w:sz w:val="21"/>
                <w:szCs w:val="21"/>
                <w:u w:val="none"/>
              </w:rPr>
              <w:t>1</w:t>
            </w:r>
          </w:p>
        </w:tc>
        <w:tc>
          <w:tcPr>
            <w:tcW w:w="1530" w:type="dxa"/>
          </w:tcPr>
          <w:p w:rsidR="006065DE" w:rsidRPr="00E96973" w:rsidRDefault="00901528" w:rsidP="00603572">
            <w:pPr>
              <w:pStyle w:val="MainParagraph"/>
              <w:jc w:val="center"/>
              <w:rPr>
                <w:rFonts w:cs="Times New Roman"/>
                <w:sz w:val="21"/>
                <w:szCs w:val="21"/>
                <w:u w:val="none"/>
              </w:rPr>
            </w:pPr>
            <w:r>
              <w:rPr>
                <w:rFonts w:cs="Times New Roman"/>
                <w:sz w:val="21"/>
                <w:szCs w:val="21"/>
                <w:u w:val="none"/>
              </w:rPr>
              <w:t>3/17/14</w:t>
            </w:r>
          </w:p>
        </w:tc>
        <w:tc>
          <w:tcPr>
            <w:tcW w:w="9360" w:type="dxa"/>
          </w:tcPr>
          <w:p w:rsidR="006065DE" w:rsidRPr="00E96973" w:rsidRDefault="00901528" w:rsidP="00603572">
            <w:pPr>
              <w:pStyle w:val="MainParagraph"/>
              <w:rPr>
                <w:rFonts w:cs="Times New Roman"/>
                <w:sz w:val="21"/>
                <w:szCs w:val="21"/>
                <w:u w:val="none"/>
              </w:rPr>
            </w:pPr>
            <w:r>
              <w:rPr>
                <w:rFonts w:cs="Times New Roman"/>
                <w:sz w:val="21"/>
                <w:szCs w:val="21"/>
                <w:u w:val="none"/>
              </w:rPr>
              <w:t>Added “Dodd-Frank Act” terms.</w:t>
            </w:r>
          </w:p>
        </w:tc>
        <w:tc>
          <w:tcPr>
            <w:tcW w:w="1890" w:type="dxa"/>
          </w:tcPr>
          <w:p w:rsidR="006065DE" w:rsidRPr="00E96973" w:rsidRDefault="00901528" w:rsidP="00603572">
            <w:pPr>
              <w:pStyle w:val="MainParagraph"/>
              <w:jc w:val="center"/>
              <w:rPr>
                <w:rFonts w:cs="Times New Roman"/>
                <w:sz w:val="21"/>
                <w:szCs w:val="21"/>
                <w:u w:val="none"/>
              </w:rPr>
            </w:pPr>
            <w:r>
              <w:rPr>
                <w:rFonts w:cs="Times New Roman"/>
                <w:sz w:val="21"/>
                <w:szCs w:val="21"/>
                <w:u w:val="none"/>
              </w:rPr>
              <w:t>QMT</w:t>
            </w:r>
          </w:p>
        </w:tc>
      </w:tr>
      <w:tr w:rsidR="00EA72ED" w:rsidRPr="00E96973" w:rsidTr="00EA72ED">
        <w:trPr>
          <w:trHeight w:val="288"/>
        </w:trPr>
        <w:tc>
          <w:tcPr>
            <w:tcW w:w="378" w:type="dxa"/>
          </w:tcPr>
          <w:p w:rsidR="006065DE" w:rsidRPr="00E96973" w:rsidRDefault="007274DA" w:rsidP="00603572">
            <w:pPr>
              <w:pStyle w:val="MainParagraph"/>
              <w:jc w:val="center"/>
              <w:rPr>
                <w:rFonts w:cs="Times New Roman"/>
                <w:sz w:val="21"/>
                <w:szCs w:val="21"/>
                <w:u w:val="none"/>
              </w:rPr>
            </w:pPr>
            <w:r>
              <w:rPr>
                <w:rFonts w:cs="Times New Roman"/>
                <w:sz w:val="21"/>
                <w:szCs w:val="21"/>
                <w:u w:val="none"/>
              </w:rPr>
              <w:t>1</w:t>
            </w:r>
          </w:p>
        </w:tc>
        <w:tc>
          <w:tcPr>
            <w:tcW w:w="1530" w:type="dxa"/>
          </w:tcPr>
          <w:p w:rsidR="006065DE" w:rsidRPr="00E96973" w:rsidRDefault="007274DA" w:rsidP="00603572">
            <w:pPr>
              <w:pStyle w:val="MainParagraph"/>
              <w:jc w:val="center"/>
              <w:rPr>
                <w:rFonts w:cs="Times New Roman"/>
                <w:sz w:val="21"/>
                <w:szCs w:val="21"/>
                <w:u w:val="none"/>
              </w:rPr>
            </w:pPr>
            <w:r>
              <w:rPr>
                <w:rFonts w:cs="Times New Roman"/>
                <w:sz w:val="21"/>
                <w:szCs w:val="21"/>
                <w:u w:val="none"/>
              </w:rPr>
              <w:t>5/14/14</w:t>
            </w:r>
          </w:p>
        </w:tc>
        <w:tc>
          <w:tcPr>
            <w:tcW w:w="9360" w:type="dxa"/>
          </w:tcPr>
          <w:p w:rsidR="006065DE" w:rsidRPr="00E96973" w:rsidRDefault="007274DA" w:rsidP="00603572">
            <w:pPr>
              <w:pStyle w:val="MainParagraph"/>
              <w:rPr>
                <w:rFonts w:cs="Times New Roman"/>
                <w:sz w:val="21"/>
                <w:szCs w:val="21"/>
                <w:u w:val="none"/>
              </w:rPr>
            </w:pPr>
            <w:r>
              <w:rPr>
                <w:rFonts w:cs="Times New Roman"/>
                <w:sz w:val="21"/>
                <w:szCs w:val="21"/>
                <w:u w:val="none"/>
              </w:rPr>
              <w:t>Removed statements which we did not actually intend to monitor concerning supplier performance.</w:t>
            </w:r>
          </w:p>
        </w:tc>
        <w:tc>
          <w:tcPr>
            <w:tcW w:w="1890" w:type="dxa"/>
          </w:tcPr>
          <w:p w:rsidR="006065DE" w:rsidRPr="00E96973" w:rsidRDefault="007274DA" w:rsidP="00603572">
            <w:pPr>
              <w:pStyle w:val="MainParagraph"/>
              <w:jc w:val="center"/>
              <w:rPr>
                <w:rFonts w:cs="Times New Roman"/>
                <w:sz w:val="21"/>
                <w:szCs w:val="21"/>
                <w:u w:val="none"/>
              </w:rPr>
            </w:pPr>
            <w:r>
              <w:rPr>
                <w:rFonts w:cs="Times New Roman"/>
                <w:sz w:val="21"/>
                <w:szCs w:val="21"/>
                <w:u w:val="none"/>
              </w:rPr>
              <w:t>QMT</w:t>
            </w:r>
          </w:p>
        </w:tc>
      </w:tr>
      <w:tr w:rsidR="00EA72ED" w:rsidRPr="00E96973" w:rsidTr="00EA72ED">
        <w:trPr>
          <w:trHeight w:val="288"/>
        </w:trPr>
        <w:tc>
          <w:tcPr>
            <w:tcW w:w="378" w:type="dxa"/>
          </w:tcPr>
          <w:p w:rsidR="006065DE" w:rsidRPr="00E96973" w:rsidRDefault="007D3DD8" w:rsidP="00603572">
            <w:pPr>
              <w:pStyle w:val="MainParagraph"/>
              <w:jc w:val="center"/>
              <w:rPr>
                <w:rFonts w:cs="Times New Roman"/>
                <w:sz w:val="21"/>
                <w:szCs w:val="21"/>
                <w:u w:val="none"/>
              </w:rPr>
            </w:pPr>
            <w:r>
              <w:rPr>
                <w:rFonts w:cs="Times New Roman"/>
                <w:sz w:val="21"/>
                <w:szCs w:val="21"/>
                <w:u w:val="none"/>
              </w:rPr>
              <w:t>1</w:t>
            </w:r>
          </w:p>
        </w:tc>
        <w:tc>
          <w:tcPr>
            <w:tcW w:w="1530" w:type="dxa"/>
          </w:tcPr>
          <w:p w:rsidR="006065DE" w:rsidRPr="00E96973" w:rsidRDefault="007D3DD8" w:rsidP="00603572">
            <w:pPr>
              <w:pStyle w:val="MainParagraph"/>
              <w:jc w:val="center"/>
              <w:rPr>
                <w:rFonts w:cs="Times New Roman"/>
                <w:sz w:val="21"/>
                <w:szCs w:val="21"/>
                <w:u w:val="none"/>
              </w:rPr>
            </w:pPr>
            <w:r>
              <w:rPr>
                <w:rFonts w:cs="Times New Roman"/>
                <w:sz w:val="21"/>
                <w:szCs w:val="21"/>
                <w:u w:val="none"/>
              </w:rPr>
              <w:t>11/3/15</w:t>
            </w:r>
          </w:p>
        </w:tc>
        <w:tc>
          <w:tcPr>
            <w:tcW w:w="9360" w:type="dxa"/>
          </w:tcPr>
          <w:p w:rsidR="006065DE" w:rsidRPr="00E96973" w:rsidRDefault="007D3DD8" w:rsidP="002F73E1">
            <w:pPr>
              <w:pStyle w:val="MainParagraph"/>
              <w:tabs>
                <w:tab w:val="left" w:pos="2595"/>
              </w:tabs>
              <w:rPr>
                <w:rFonts w:cs="Times New Roman"/>
                <w:sz w:val="21"/>
                <w:szCs w:val="21"/>
                <w:u w:val="none"/>
              </w:rPr>
            </w:pPr>
            <w:r>
              <w:rPr>
                <w:rFonts w:cs="Times New Roman"/>
                <w:sz w:val="21"/>
                <w:szCs w:val="21"/>
                <w:u w:val="none"/>
              </w:rPr>
              <w:t>Added “at any level of the supply chain” for right of access clause.</w:t>
            </w:r>
            <w:r w:rsidR="002F73E1">
              <w:rPr>
                <w:rFonts w:cs="Times New Roman"/>
                <w:sz w:val="21"/>
                <w:szCs w:val="21"/>
                <w:u w:val="none"/>
              </w:rPr>
              <w:tab/>
            </w:r>
          </w:p>
        </w:tc>
        <w:tc>
          <w:tcPr>
            <w:tcW w:w="1890" w:type="dxa"/>
          </w:tcPr>
          <w:p w:rsidR="006065DE" w:rsidRPr="00E96973" w:rsidRDefault="007D3DD8" w:rsidP="00603572">
            <w:pPr>
              <w:pStyle w:val="MainParagraph"/>
              <w:jc w:val="center"/>
              <w:rPr>
                <w:rFonts w:cs="Times New Roman"/>
                <w:sz w:val="21"/>
                <w:szCs w:val="21"/>
                <w:u w:val="none"/>
              </w:rPr>
            </w:pPr>
            <w:r>
              <w:rPr>
                <w:rFonts w:cs="Times New Roman"/>
                <w:sz w:val="21"/>
                <w:szCs w:val="21"/>
                <w:u w:val="none"/>
              </w:rPr>
              <w:t>QMT</w:t>
            </w:r>
          </w:p>
        </w:tc>
      </w:tr>
      <w:tr w:rsidR="00EA72ED" w:rsidRPr="00E96973" w:rsidTr="00EA72ED">
        <w:trPr>
          <w:trHeight w:val="288"/>
        </w:trPr>
        <w:tc>
          <w:tcPr>
            <w:tcW w:w="378" w:type="dxa"/>
          </w:tcPr>
          <w:p w:rsidR="006065DE" w:rsidRPr="00E96973" w:rsidRDefault="00E937B5" w:rsidP="00603572">
            <w:pPr>
              <w:pStyle w:val="MainParagraph"/>
              <w:jc w:val="center"/>
              <w:rPr>
                <w:rFonts w:cs="Times New Roman"/>
                <w:sz w:val="21"/>
                <w:szCs w:val="21"/>
                <w:u w:val="none"/>
              </w:rPr>
            </w:pPr>
            <w:r>
              <w:rPr>
                <w:rFonts w:cs="Times New Roman"/>
                <w:sz w:val="21"/>
                <w:szCs w:val="21"/>
                <w:u w:val="none"/>
              </w:rPr>
              <w:t>1</w:t>
            </w:r>
          </w:p>
        </w:tc>
        <w:tc>
          <w:tcPr>
            <w:tcW w:w="1530" w:type="dxa"/>
          </w:tcPr>
          <w:p w:rsidR="006065DE" w:rsidRPr="00E96973" w:rsidRDefault="00E937B5" w:rsidP="00603572">
            <w:pPr>
              <w:pStyle w:val="MainParagraph"/>
              <w:jc w:val="center"/>
              <w:rPr>
                <w:rFonts w:cs="Times New Roman"/>
                <w:sz w:val="21"/>
                <w:szCs w:val="21"/>
                <w:u w:val="none"/>
              </w:rPr>
            </w:pPr>
            <w:r>
              <w:rPr>
                <w:rFonts w:cs="Times New Roman"/>
                <w:sz w:val="21"/>
                <w:szCs w:val="21"/>
                <w:u w:val="none"/>
              </w:rPr>
              <w:t>05/31/17</w:t>
            </w:r>
          </w:p>
        </w:tc>
        <w:tc>
          <w:tcPr>
            <w:tcW w:w="9360" w:type="dxa"/>
          </w:tcPr>
          <w:p w:rsidR="006065DE" w:rsidRPr="00E96973" w:rsidRDefault="00E937B5" w:rsidP="00603572">
            <w:pPr>
              <w:pStyle w:val="MainParagraph"/>
              <w:rPr>
                <w:rFonts w:cs="Times New Roman"/>
                <w:sz w:val="21"/>
                <w:szCs w:val="21"/>
                <w:u w:val="none"/>
              </w:rPr>
            </w:pPr>
            <w:r>
              <w:rPr>
                <w:rFonts w:cs="Times New Roman"/>
                <w:sz w:val="21"/>
                <w:szCs w:val="21"/>
                <w:u w:val="none"/>
              </w:rPr>
              <w:t>Added Q &amp; R</w:t>
            </w:r>
          </w:p>
        </w:tc>
        <w:tc>
          <w:tcPr>
            <w:tcW w:w="1890" w:type="dxa"/>
          </w:tcPr>
          <w:p w:rsidR="006065DE" w:rsidRPr="00E96973" w:rsidRDefault="00E937B5" w:rsidP="00603572">
            <w:pPr>
              <w:pStyle w:val="MainParagraph"/>
              <w:jc w:val="center"/>
              <w:rPr>
                <w:rFonts w:cs="Times New Roman"/>
                <w:sz w:val="21"/>
                <w:szCs w:val="21"/>
                <w:u w:val="none"/>
              </w:rPr>
            </w:pPr>
            <w:r>
              <w:rPr>
                <w:rFonts w:cs="Times New Roman"/>
                <w:sz w:val="21"/>
                <w:szCs w:val="21"/>
                <w:u w:val="none"/>
              </w:rPr>
              <w:t>Adam S. Wallerstein</w:t>
            </w: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bl>
    <w:p w:rsidR="006065DE" w:rsidRPr="00E96973" w:rsidRDefault="006065DE" w:rsidP="006065DE">
      <w:pPr>
        <w:rPr>
          <w:sz w:val="21"/>
          <w:szCs w:val="21"/>
        </w:rPr>
      </w:pPr>
    </w:p>
    <w:sectPr w:rsidR="006065DE" w:rsidRPr="00E96973" w:rsidSect="006065DE">
      <w:type w:val="continuous"/>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48" w:rsidRDefault="00633648" w:rsidP="00633648">
      <w:r>
        <w:separator/>
      </w:r>
    </w:p>
  </w:endnote>
  <w:endnote w:type="continuationSeparator" w:id="0">
    <w:p w:rsidR="00633648" w:rsidRDefault="00633648" w:rsidP="0063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48" w:rsidRDefault="00633648" w:rsidP="00633648">
      <w:r>
        <w:separator/>
      </w:r>
    </w:p>
  </w:footnote>
  <w:footnote w:type="continuationSeparator" w:id="0">
    <w:p w:rsidR="00633648" w:rsidRDefault="00633648" w:rsidP="0063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6588"/>
      <w:gridCol w:w="6588"/>
    </w:tblGrid>
    <w:tr w:rsidR="006065DE" w:rsidTr="000C12E7">
      <w:trPr>
        <w:trHeight w:val="1340"/>
      </w:trPr>
      <w:tc>
        <w:tcPr>
          <w:tcW w:w="6588" w:type="dxa"/>
        </w:tcPr>
        <w:p w:rsidR="006065DE" w:rsidRDefault="000C12E7">
          <w:pPr>
            <w:pStyle w:val="Header"/>
          </w:pPr>
          <w:r>
            <w:rPr>
              <w:noProof/>
            </w:rPr>
            <w:drawing>
              <wp:inline distT="0" distB="0" distL="0" distR="0" wp14:anchorId="040FBCFE" wp14:editId="6AD21943">
                <wp:extent cx="2495550" cy="725170"/>
                <wp:effectExtent l="0" t="0" r="0" b="0"/>
                <wp:docPr id="4" name="Picture 4" descr="accutit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cutite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25170"/>
                        </a:xfrm>
                        <a:prstGeom prst="rect">
                          <a:avLst/>
                        </a:prstGeom>
                        <a:noFill/>
                      </pic:spPr>
                    </pic:pic>
                  </a:graphicData>
                </a:graphic>
              </wp:inline>
            </w:drawing>
          </w:r>
        </w:p>
      </w:tc>
      <w:tc>
        <w:tcPr>
          <w:tcW w:w="6588" w:type="dxa"/>
        </w:tcPr>
        <w:p w:rsidR="006065DE" w:rsidRPr="00580A7C" w:rsidRDefault="006065DE" w:rsidP="006065DE">
          <w:pPr>
            <w:pStyle w:val="HeaderTitle"/>
          </w:pPr>
          <w:r w:rsidRPr="00580A7C">
            <w:t>Quality Management System</w:t>
          </w:r>
        </w:p>
        <w:p w:rsidR="006065DE" w:rsidRPr="008E7A08" w:rsidRDefault="006065DE" w:rsidP="006065DE">
          <w:pPr>
            <w:pStyle w:val="HeaderText"/>
            <w:rPr>
              <w:rFonts w:cs="Times New Roman"/>
            </w:rPr>
          </w:pPr>
          <w:r>
            <w:t>Doc. No.</w:t>
          </w:r>
          <w:r w:rsidRPr="008E7A08">
            <w:t xml:space="preserve">: </w:t>
          </w:r>
          <w:r w:rsidR="00E937B5">
            <w:fldChar w:fldCharType="begin"/>
          </w:r>
          <w:r w:rsidR="00E937B5">
            <w:instrText xml:space="preserve"> FILENAME   \* MERGEFORMAT </w:instrText>
          </w:r>
          <w:r w:rsidR="00E937B5">
            <w:fldChar w:fldCharType="separate"/>
          </w:r>
          <w:r w:rsidR="003D62AB">
            <w:rPr>
              <w:noProof/>
            </w:rPr>
            <w:t xml:space="preserve">QP-740-02 - </w:t>
          </w:r>
          <w:r w:rsidR="003D62AB" w:rsidRPr="003D62AB">
            <w:rPr>
              <w:b/>
              <w:noProof/>
            </w:rPr>
            <w:t>Purchasing Terms</w:t>
          </w:r>
          <w:r w:rsidR="003D62AB">
            <w:rPr>
              <w:noProof/>
            </w:rPr>
            <w:t xml:space="preserve"> and Conditions</w:t>
          </w:r>
          <w:r w:rsidR="00E937B5">
            <w:rPr>
              <w:noProof/>
            </w:rPr>
            <w:fldChar w:fldCharType="end"/>
          </w:r>
        </w:p>
        <w:p w:rsidR="006065DE" w:rsidRPr="008E7A08" w:rsidRDefault="00E937B5" w:rsidP="006065DE">
          <w:pPr>
            <w:pStyle w:val="HeaderText"/>
            <w:rPr>
              <w:rFonts w:cs="Times New Roman"/>
            </w:rPr>
          </w:pPr>
          <w:r>
            <w:t>05/31/17</w:t>
          </w:r>
        </w:p>
        <w:p w:rsidR="006065DE" w:rsidRPr="008E7A08" w:rsidRDefault="006065DE" w:rsidP="006065DE">
          <w:pPr>
            <w:pStyle w:val="HeaderText"/>
            <w:rPr>
              <w:rFonts w:cs="Times New Roman"/>
            </w:rPr>
          </w:pPr>
          <w:r w:rsidRPr="008E7A08">
            <w:t xml:space="preserve">Page </w:t>
          </w:r>
          <w:r>
            <w:fldChar w:fldCharType="begin"/>
          </w:r>
          <w:r>
            <w:instrText xml:space="preserve"> PAGE   \* MERGEFORMAT </w:instrText>
          </w:r>
          <w:r>
            <w:fldChar w:fldCharType="separate"/>
          </w:r>
          <w:r w:rsidR="00E937B5">
            <w:rPr>
              <w:noProof/>
            </w:rPr>
            <w:t>1</w:t>
          </w:r>
          <w:r>
            <w:rPr>
              <w:noProof/>
            </w:rPr>
            <w:fldChar w:fldCharType="end"/>
          </w:r>
          <w:r w:rsidRPr="008E7A08">
            <w:t xml:space="preserve"> of </w:t>
          </w:r>
          <w:r w:rsidR="00E937B5">
            <w:fldChar w:fldCharType="begin"/>
          </w:r>
          <w:r w:rsidR="00E937B5">
            <w:instrText xml:space="preserve"> NUMPAGES   \* MERGEFORMAT </w:instrText>
          </w:r>
          <w:r w:rsidR="00E937B5">
            <w:fldChar w:fldCharType="separate"/>
          </w:r>
          <w:r w:rsidR="00E937B5">
            <w:rPr>
              <w:noProof/>
            </w:rPr>
            <w:t>3</w:t>
          </w:r>
          <w:r w:rsidR="00E937B5">
            <w:rPr>
              <w:noProof/>
            </w:rPr>
            <w:fldChar w:fldCharType="end"/>
          </w:r>
        </w:p>
        <w:p w:rsidR="006065DE" w:rsidRDefault="006065DE" w:rsidP="006065DE">
          <w:pPr>
            <w:pStyle w:val="Header"/>
            <w:jc w:val="right"/>
          </w:pPr>
          <w:r>
            <w:rPr>
              <w:rFonts w:cs="Times New Roman"/>
            </w:rPr>
            <w:t xml:space="preserve">Revision </w:t>
          </w:r>
          <w:r>
            <w:rPr>
              <w:rFonts w:cs="Times New Roman"/>
            </w:rPr>
            <w:fldChar w:fldCharType="begin"/>
          </w:r>
          <w:r>
            <w:rPr>
              <w:rFonts w:cs="Times New Roman"/>
            </w:rPr>
            <w:instrText xml:space="preserve"> =Revision </w:instrText>
          </w:r>
          <w:r>
            <w:rPr>
              <w:rFonts w:cs="Times New Roman"/>
            </w:rPr>
            <w:fldChar w:fldCharType="separate"/>
          </w:r>
          <w:r w:rsidR="00E937B5">
            <w:rPr>
              <w:rFonts w:cs="Times New Roman"/>
              <w:noProof/>
            </w:rPr>
            <w:t>8</w:t>
          </w:r>
          <w:r>
            <w:rPr>
              <w:rFonts w:cs="Times New Roman"/>
            </w:rPr>
            <w:fldChar w:fldCharType="end"/>
          </w:r>
        </w:p>
      </w:tc>
    </w:tr>
  </w:tbl>
  <w:p w:rsidR="00633648" w:rsidRDefault="00633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6A24"/>
    <w:multiLevelType w:val="hybridMultilevel"/>
    <w:tmpl w:val="8782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57ED2"/>
    <w:multiLevelType w:val="hybridMultilevel"/>
    <w:tmpl w:val="340C429C"/>
    <w:lvl w:ilvl="0" w:tplc="B8307BF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85"/>
    <w:rsid w:val="00032154"/>
    <w:rsid w:val="000C12E7"/>
    <w:rsid w:val="000D6778"/>
    <w:rsid w:val="000F776F"/>
    <w:rsid w:val="001056D6"/>
    <w:rsid w:val="002978EF"/>
    <w:rsid w:val="002C3911"/>
    <w:rsid w:val="002F73E1"/>
    <w:rsid w:val="003D62AB"/>
    <w:rsid w:val="004F26C8"/>
    <w:rsid w:val="005D3CE6"/>
    <w:rsid w:val="005E0C0E"/>
    <w:rsid w:val="006065DE"/>
    <w:rsid w:val="00633648"/>
    <w:rsid w:val="007274DA"/>
    <w:rsid w:val="007C5836"/>
    <w:rsid w:val="007D3DD8"/>
    <w:rsid w:val="00805024"/>
    <w:rsid w:val="00890E21"/>
    <w:rsid w:val="00901528"/>
    <w:rsid w:val="00910100"/>
    <w:rsid w:val="0097284E"/>
    <w:rsid w:val="009B156E"/>
    <w:rsid w:val="009F55A7"/>
    <w:rsid w:val="00B766FB"/>
    <w:rsid w:val="00BA66BE"/>
    <w:rsid w:val="00BE12FC"/>
    <w:rsid w:val="00CD7BE4"/>
    <w:rsid w:val="00E676F5"/>
    <w:rsid w:val="00E937B5"/>
    <w:rsid w:val="00E96973"/>
    <w:rsid w:val="00EA72ED"/>
    <w:rsid w:val="00EB5A1A"/>
    <w:rsid w:val="00EC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85"/>
    <w:pPr>
      <w:ind w:left="720"/>
      <w:contextualSpacing/>
    </w:pPr>
  </w:style>
  <w:style w:type="paragraph" w:styleId="Header">
    <w:name w:val="header"/>
    <w:basedOn w:val="Normal"/>
    <w:link w:val="HeaderChar"/>
    <w:uiPriority w:val="99"/>
    <w:unhideWhenUsed/>
    <w:rsid w:val="00633648"/>
    <w:pPr>
      <w:tabs>
        <w:tab w:val="center" w:pos="4680"/>
        <w:tab w:val="right" w:pos="9360"/>
      </w:tabs>
    </w:pPr>
  </w:style>
  <w:style w:type="character" w:customStyle="1" w:styleId="HeaderChar">
    <w:name w:val="Header Char"/>
    <w:basedOn w:val="DefaultParagraphFont"/>
    <w:link w:val="Header"/>
    <w:uiPriority w:val="99"/>
    <w:rsid w:val="00633648"/>
  </w:style>
  <w:style w:type="paragraph" w:styleId="Footer">
    <w:name w:val="footer"/>
    <w:basedOn w:val="Normal"/>
    <w:link w:val="FooterChar"/>
    <w:uiPriority w:val="99"/>
    <w:unhideWhenUsed/>
    <w:rsid w:val="00633648"/>
    <w:pPr>
      <w:tabs>
        <w:tab w:val="center" w:pos="4680"/>
        <w:tab w:val="right" w:pos="9360"/>
      </w:tabs>
    </w:pPr>
  </w:style>
  <w:style w:type="character" w:customStyle="1" w:styleId="FooterChar">
    <w:name w:val="Footer Char"/>
    <w:basedOn w:val="DefaultParagraphFont"/>
    <w:link w:val="Footer"/>
    <w:uiPriority w:val="99"/>
    <w:rsid w:val="00633648"/>
  </w:style>
  <w:style w:type="table" w:styleId="TableGrid">
    <w:name w:val="Table Grid"/>
    <w:basedOn w:val="TableNormal"/>
    <w:uiPriority w:val="59"/>
    <w:rsid w:val="00606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065D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065DE"/>
    <w:rPr>
      <w:rFonts w:ascii="Courier New" w:eastAsia="Times New Roman" w:hAnsi="Courier New" w:cs="Courier New"/>
      <w:sz w:val="20"/>
      <w:szCs w:val="20"/>
    </w:rPr>
  </w:style>
  <w:style w:type="paragraph" w:customStyle="1" w:styleId="HeaderText">
    <w:name w:val="Header Text"/>
    <w:basedOn w:val="Normal"/>
    <w:link w:val="HeaderTextChar"/>
    <w:uiPriority w:val="99"/>
    <w:rsid w:val="006065DE"/>
    <w:pPr>
      <w:jc w:val="right"/>
    </w:pPr>
    <w:rPr>
      <w:rFonts w:ascii="Calibri" w:eastAsia="MS Mincho" w:hAnsi="Calibri" w:cs="Calibri"/>
      <w:kern w:val="32"/>
      <w:sz w:val="20"/>
      <w:szCs w:val="20"/>
    </w:rPr>
  </w:style>
  <w:style w:type="character" w:customStyle="1" w:styleId="HeaderTextChar">
    <w:name w:val="Header Text Char"/>
    <w:basedOn w:val="DefaultParagraphFont"/>
    <w:link w:val="HeaderText"/>
    <w:uiPriority w:val="99"/>
    <w:locked/>
    <w:rsid w:val="006065DE"/>
    <w:rPr>
      <w:rFonts w:ascii="Calibri" w:eastAsia="MS Mincho" w:hAnsi="Calibri" w:cs="Calibri"/>
      <w:kern w:val="32"/>
      <w:sz w:val="20"/>
      <w:szCs w:val="20"/>
    </w:rPr>
  </w:style>
  <w:style w:type="paragraph" w:customStyle="1" w:styleId="HeaderTitle">
    <w:name w:val="Header Title"/>
    <w:basedOn w:val="HeaderText"/>
    <w:link w:val="HeaderTitleChar"/>
    <w:uiPriority w:val="99"/>
    <w:rsid w:val="006065DE"/>
    <w:rPr>
      <w:sz w:val="28"/>
      <w:szCs w:val="28"/>
    </w:rPr>
  </w:style>
  <w:style w:type="character" w:customStyle="1" w:styleId="HeaderTitleChar">
    <w:name w:val="Header Title Char"/>
    <w:basedOn w:val="HeaderTextChar"/>
    <w:link w:val="HeaderTitle"/>
    <w:uiPriority w:val="99"/>
    <w:locked/>
    <w:rsid w:val="006065DE"/>
    <w:rPr>
      <w:rFonts w:ascii="Calibri" w:eastAsia="MS Mincho" w:hAnsi="Calibri" w:cs="Calibri"/>
      <w:kern w:val="32"/>
      <w:sz w:val="28"/>
      <w:szCs w:val="28"/>
    </w:rPr>
  </w:style>
  <w:style w:type="paragraph" w:customStyle="1" w:styleId="MainParagraph">
    <w:name w:val="Main Paragraph"/>
    <w:basedOn w:val="Normal"/>
    <w:link w:val="MainParagraphChar"/>
    <w:uiPriority w:val="99"/>
    <w:rsid w:val="006065DE"/>
    <w:rPr>
      <w:rFonts w:ascii="Calibri" w:eastAsia="MS Mincho" w:hAnsi="Calibri" w:cs="Calibri"/>
      <w:b/>
      <w:bCs/>
      <w:kern w:val="32"/>
      <w:sz w:val="24"/>
      <w:szCs w:val="24"/>
      <w:u w:val="single"/>
    </w:rPr>
  </w:style>
  <w:style w:type="character" w:customStyle="1" w:styleId="MainParagraphChar">
    <w:name w:val="Main Paragraph Char"/>
    <w:basedOn w:val="DefaultParagraphFont"/>
    <w:link w:val="MainParagraph"/>
    <w:uiPriority w:val="99"/>
    <w:locked/>
    <w:rsid w:val="006065DE"/>
    <w:rPr>
      <w:rFonts w:ascii="Calibri" w:eastAsia="MS Mincho" w:hAnsi="Calibri" w:cs="Calibri"/>
      <w:b/>
      <w:bCs/>
      <w:kern w:val="32"/>
      <w:sz w:val="24"/>
      <w:szCs w:val="24"/>
      <w:u w:val="single"/>
    </w:rPr>
  </w:style>
  <w:style w:type="paragraph" w:styleId="BalloonText">
    <w:name w:val="Balloon Text"/>
    <w:basedOn w:val="Normal"/>
    <w:link w:val="BalloonTextChar"/>
    <w:uiPriority w:val="99"/>
    <w:semiHidden/>
    <w:unhideWhenUsed/>
    <w:rsid w:val="000C12E7"/>
    <w:rPr>
      <w:rFonts w:ascii="Tahoma" w:hAnsi="Tahoma" w:cs="Tahoma"/>
      <w:sz w:val="16"/>
      <w:szCs w:val="16"/>
    </w:rPr>
  </w:style>
  <w:style w:type="character" w:customStyle="1" w:styleId="BalloonTextChar">
    <w:name w:val="Balloon Text Char"/>
    <w:basedOn w:val="DefaultParagraphFont"/>
    <w:link w:val="BalloonText"/>
    <w:uiPriority w:val="99"/>
    <w:semiHidden/>
    <w:rsid w:val="000C1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85"/>
    <w:pPr>
      <w:ind w:left="720"/>
      <w:contextualSpacing/>
    </w:pPr>
  </w:style>
  <w:style w:type="paragraph" w:styleId="Header">
    <w:name w:val="header"/>
    <w:basedOn w:val="Normal"/>
    <w:link w:val="HeaderChar"/>
    <w:uiPriority w:val="99"/>
    <w:unhideWhenUsed/>
    <w:rsid w:val="00633648"/>
    <w:pPr>
      <w:tabs>
        <w:tab w:val="center" w:pos="4680"/>
        <w:tab w:val="right" w:pos="9360"/>
      </w:tabs>
    </w:pPr>
  </w:style>
  <w:style w:type="character" w:customStyle="1" w:styleId="HeaderChar">
    <w:name w:val="Header Char"/>
    <w:basedOn w:val="DefaultParagraphFont"/>
    <w:link w:val="Header"/>
    <w:uiPriority w:val="99"/>
    <w:rsid w:val="00633648"/>
  </w:style>
  <w:style w:type="paragraph" w:styleId="Footer">
    <w:name w:val="footer"/>
    <w:basedOn w:val="Normal"/>
    <w:link w:val="FooterChar"/>
    <w:uiPriority w:val="99"/>
    <w:unhideWhenUsed/>
    <w:rsid w:val="00633648"/>
    <w:pPr>
      <w:tabs>
        <w:tab w:val="center" w:pos="4680"/>
        <w:tab w:val="right" w:pos="9360"/>
      </w:tabs>
    </w:pPr>
  </w:style>
  <w:style w:type="character" w:customStyle="1" w:styleId="FooterChar">
    <w:name w:val="Footer Char"/>
    <w:basedOn w:val="DefaultParagraphFont"/>
    <w:link w:val="Footer"/>
    <w:uiPriority w:val="99"/>
    <w:rsid w:val="00633648"/>
  </w:style>
  <w:style w:type="table" w:styleId="TableGrid">
    <w:name w:val="Table Grid"/>
    <w:basedOn w:val="TableNormal"/>
    <w:uiPriority w:val="59"/>
    <w:rsid w:val="00606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065D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065DE"/>
    <w:rPr>
      <w:rFonts w:ascii="Courier New" w:eastAsia="Times New Roman" w:hAnsi="Courier New" w:cs="Courier New"/>
      <w:sz w:val="20"/>
      <w:szCs w:val="20"/>
    </w:rPr>
  </w:style>
  <w:style w:type="paragraph" w:customStyle="1" w:styleId="HeaderText">
    <w:name w:val="Header Text"/>
    <w:basedOn w:val="Normal"/>
    <w:link w:val="HeaderTextChar"/>
    <w:uiPriority w:val="99"/>
    <w:rsid w:val="006065DE"/>
    <w:pPr>
      <w:jc w:val="right"/>
    </w:pPr>
    <w:rPr>
      <w:rFonts w:ascii="Calibri" w:eastAsia="MS Mincho" w:hAnsi="Calibri" w:cs="Calibri"/>
      <w:kern w:val="32"/>
      <w:sz w:val="20"/>
      <w:szCs w:val="20"/>
    </w:rPr>
  </w:style>
  <w:style w:type="character" w:customStyle="1" w:styleId="HeaderTextChar">
    <w:name w:val="Header Text Char"/>
    <w:basedOn w:val="DefaultParagraphFont"/>
    <w:link w:val="HeaderText"/>
    <w:uiPriority w:val="99"/>
    <w:locked/>
    <w:rsid w:val="006065DE"/>
    <w:rPr>
      <w:rFonts w:ascii="Calibri" w:eastAsia="MS Mincho" w:hAnsi="Calibri" w:cs="Calibri"/>
      <w:kern w:val="32"/>
      <w:sz w:val="20"/>
      <w:szCs w:val="20"/>
    </w:rPr>
  </w:style>
  <w:style w:type="paragraph" w:customStyle="1" w:styleId="HeaderTitle">
    <w:name w:val="Header Title"/>
    <w:basedOn w:val="HeaderText"/>
    <w:link w:val="HeaderTitleChar"/>
    <w:uiPriority w:val="99"/>
    <w:rsid w:val="006065DE"/>
    <w:rPr>
      <w:sz w:val="28"/>
      <w:szCs w:val="28"/>
    </w:rPr>
  </w:style>
  <w:style w:type="character" w:customStyle="1" w:styleId="HeaderTitleChar">
    <w:name w:val="Header Title Char"/>
    <w:basedOn w:val="HeaderTextChar"/>
    <w:link w:val="HeaderTitle"/>
    <w:uiPriority w:val="99"/>
    <w:locked/>
    <w:rsid w:val="006065DE"/>
    <w:rPr>
      <w:rFonts w:ascii="Calibri" w:eastAsia="MS Mincho" w:hAnsi="Calibri" w:cs="Calibri"/>
      <w:kern w:val="32"/>
      <w:sz w:val="28"/>
      <w:szCs w:val="28"/>
    </w:rPr>
  </w:style>
  <w:style w:type="paragraph" w:customStyle="1" w:styleId="MainParagraph">
    <w:name w:val="Main Paragraph"/>
    <w:basedOn w:val="Normal"/>
    <w:link w:val="MainParagraphChar"/>
    <w:uiPriority w:val="99"/>
    <w:rsid w:val="006065DE"/>
    <w:rPr>
      <w:rFonts w:ascii="Calibri" w:eastAsia="MS Mincho" w:hAnsi="Calibri" w:cs="Calibri"/>
      <w:b/>
      <w:bCs/>
      <w:kern w:val="32"/>
      <w:sz w:val="24"/>
      <w:szCs w:val="24"/>
      <w:u w:val="single"/>
    </w:rPr>
  </w:style>
  <w:style w:type="character" w:customStyle="1" w:styleId="MainParagraphChar">
    <w:name w:val="Main Paragraph Char"/>
    <w:basedOn w:val="DefaultParagraphFont"/>
    <w:link w:val="MainParagraph"/>
    <w:uiPriority w:val="99"/>
    <w:locked/>
    <w:rsid w:val="006065DE"/>
    <w:rPr>
      <w:rFonts w:ascii="Calibri" w:eastAsia="MS Mincho" w:hAnsi="Calibri" w:cs="Calibri"/>
      <w:b/>
      <w:bCs/>
      <w:kern w:val="32"/>
      <w:sz w:val="24"/>
      <w:szCs w:val="24"/>
      <w:u w:val="single"/>
    </w:rPr>
  </w:style>
  <w:style w:type="paragraph" w:styleId="BalloonText">
    <w:name w:val="Balloon Text"/>
    <w:basedOn w:val="Normal"/>
    <w:link w:val="BalloonTextChar"/>
    <w:uiPriority w:val="99"/>
    <w:semiHidden/>
    <w:unhideWhenUsed/>
    <w:rsid w:val="000C12E7"/>
    <w:rPr>
      <w:rFonts w:ascii="Tahoma" w:hAnsi="Tahoma" w:cs="Tahoma"/>
      <w:sz w:val="16"/>
      <w:szCs w:val="16"/>
    </w:rPr>
  </w:style>
  <w:style w:type="character" w:customStyle="1" w:styleId="BalloonTextChar">
    <w:name w:val="Balloon Text Char"/>
    <w:basedOn w:val="DefaultParagraphFont"/>
    <w:link w:val="BalloonText"/>
    <w:uiPriority w:val="99"/>
    <w:semiHidden/>
    <w:rsid w:val="000C1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B003-17D8-410F-9F62-DB438C24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Helton</dc:creator>
  <cp:lastModifiedBy>Adam Wallerstein</cp:lastModifiedBy>
  <cp:revision>16</cp:revision>
  <cp:lastPrinted>2014-04-30T16:21:00Z</cp:lastPrinted>
  <dcterms:created xsi:type="dcterms:W3CDTF">2014-01-29T19:06:00Z</dcterms:created>
  <dcterms:modified xsi:type="dcterms:W3CDTF">2017-05-31T22:22:00Z</dcterms:modified>
</cp:coreProperties>
</file>